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default" w:ascii="Times New Roman" w:hAnsi="Times New Roman" w:eastAsia="黑体" w:cs="Times New Roman"/>
          <w:sz w:val="32"/>
          <w:szCs w:val="32"/>
          <w:lang w:eastAsia="zh-CN"/>
        </w:rPr>
      </w:pPr>
      <w:r>
        <w:rPr>
          <w:rFonts w:hint="default" w:ascii="Times New Roman" w:hAnsi="Times New Roman" w:eastAsia="黑体" w:cs="Times New Roman"/>
          <w:sz w:val="32"/>
          <w:szCs w:val="32"/>
          <w:lang w:eastAsia="zh-CN"/>
        </w:rPr>
        <w:t>附件</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方正小标宋_GBK" w:eastAsia="方正小标宋_GBK" w:cs="方正小标宋_GBK"/>
          <w:sz w:val="44"/>
          <w:szCs w:val="44"/>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湖南省药品现代物流指导意见</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方正小标宋_GBK" w:eastAsia="方正小标宋_GBK" w:cs="方正小标宋_GBK"/>
          <w:sz w:val="44"/>
          <w:szCs w:val="44"/>
        </w:rPr>
      </w:pPr>
    </w:p>
    <w:p>
      <w:pPr>
        <w:keepNext w:val="0"/>
        <w:keepLines w:val="0"/>
        <w:pageBreakBefore w:val="0"/>
        <w:widowControl w:val="0"/>
        <w:kinsoku/>
        <w:wordWrap/>
        <w:overflowPunct/>
        <w:topLinePunct w:val="0"/>
        <w:autoSpaceDE/>
        <w:autoSpaceDN/>
        <w:bidi w:val="0"/>
        <w:adjustRightInd/>
        <w:snapToGrid/>
        <w:spacing w:after="157" w:afterLines="50" w:line="560" w:lineRule="exact"/>
        <w:ind w:firstLine="0" w:firstLineChars="0"/>
        <w:jc w:val="center"/>
        <w:textAlignment w:val="auto"/>
        <w:rPr>
          <w:rFonts w:hint="eastAsia" w:ascii="Times New Roman" w:hAnsi="Times New Roman" w:eastAsia="黑体" w:cs="黑体"/>
          <w:b w:val="0"/>
          <w:bCs w:val="0"/>
          <w:sz w:val="32"/>
          <w:szCs w:val="32"/>
        </w:rPr>
      </w:pPr>
      <w:r>
        <w:rPr>
          <w:rFonts w:hint="eastAsia" w:ascii="Times New Roman" w:hAnsi="Times New Roman" w:eastAsia="黑体" w:cs="黑体"/>
          <w:b w:val="0"/>
          <w:bCs w:val="0"/>
          <w:sz w:val="32"/>
          <w:szCs w:val="32"/>
        </w:rPr>
        <w:t>第一章</w:t>
      </w:r>
      <w:r>
        <w:rPr>
          <w:rFonts w:hint="eastAsia" w:ascii="Times New Roman" w:hAnsi="Times New Roman" w:eastAsia="黑体" w:cs="黑体"/>
          <w:b w:val="0"/>
          <w:bCs w:val="0"/>
          <w:sz w:val="32"/>
          <w:szCs w:val="32"/>
          <w:lang w:val="en-US" w:eastAsia="zh-CN"/>
        </w:rPr>
        <w:t xml:space="preserve">  </w:t>
      </w:r>
      <w:r>
        <w:rPr>
          <w:rFonts w:hint="eastAsia" w:ascii="Times New Roman" w:hAnsi="Times New Roman" w:eastAsia="黑体" w:cs="黑体"/>
          <w:b w:val="0"/>
          <w:bCs w:val="0"/>
          <w:sz w:val="32"/>
          <w:szCs w:val="32"/>
        </w:rPr>
        <w:t>总</w:t>
      </w:r>
      <w:r>
        <w:rPr>
          <w:rFonts w:hint="eastAsia" w:ascii="Times New Roman" w:hAnsi="Times New Roman" w:eastAsia="黑体" w:cs="黑体"/>
          <w:b w:val="0"/>
          <w:bCs w:val="0"/>
          <w:sz w:val="32"/>
          <w:szCs w:val="32"/>
          <w:lang w:val="en-US" w:eastAsia="zh-CN"/>
        </w:rPr>
        <w:t xml:space="preserve">  </w:t>
      </w:r>
      <w:r>
        <w:rPr>
          <w:rFonts w:hint="eastAsia" w:ascii="Times New Roman" w:hAnsi="Times New Roman" w:eastAsia="黑体" w:cs="黑体"/>
          <w:b w:val="0"/>
          <w:bCs w:val="0"/>
          <w:sz w:val="32"/>
          <w:szCs w:val="32"/>
        </w:rPr>
        <w:t>则</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b/>
          <w:bCs/>
          <w:sz w:val="32"/>
          <w:szCs w:val="32"/>
        </w:rPr>
        <w:t>第一条</w:t>
      </w:r>
      <w:r>
        <w:rPr>
          <w:rFonts w:hint="eastAsia" w:ascii="Times New Roman" w:hAnsi="Times New Roman" w:eastAsia="仿宋_GB2312" w:cs="仿宋_GB2312"/>
          <w:b/>
          <w:bCs/>
          <w:sz w:val="32"/>
          <w:szCs w:val="32"/>
          <w:lang w:val="en-US" w:eastAsia="zh-CN"/>
        </w:rPr>
        <w:t xml:space="preserve">  </w:t>
      </w:r>
      <w:r>
        <w:rPr>
          <w:rFonts w:hint="eastAsia" w:ascii="Times New Roman" w:hAnsi="Times New Roman" w:eastAsia="仿宋_GB2312" w:cs="仿宋_GB2312"/>
          <w:sz w:val="32"/>
          <w:szCs w:val="32"/>
        </w:rPr>
        <w:t>为加快全省药品现代物流发展，优化资源配置，促进药品经营企业现代化、规模化、规范化发展，形成高效专业的药品现代物流体系，确保药品供应保障和流通环节药品质量，根据《中华人民共和国药品管理法》《中华人民共和国疫苗管理法》《药品经营和使用质量监督管理办法》</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国家市场监督管理总局令第84号</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和</w:t>
      </w:r>
      <w:r>
        <w:rPr>
          <w:rFonts w:hint="eastAsia" w:ascii="Times New Roman" w:hAnsi="Times New Roman" w:eastAsia="仿宋_GB2312" w:cs="仿宋_GB2312"/>
          <w:sz w:val="32"/>
          <w:szCs w:val="32"/>
          <w:lang w:val="en-US" w:eastAsia="zh-CN"/>
        </w:rPr>
        <w:t>国家</w:t>
      </w:r>
      <w:r>
        <w:rPr>
          <w:rFonts w:hint="eastAsia" w:ascii="Times New Roman" w:hAnsi="Times New Roman" w:eastAsia="仿宋_GB2312" w:cs="仿宋_GB2312"/>
          <w:sz w:val="32"/>
          <w:szCs w:val="32"/>
        </w:rPr>
        <w:t>药品</w:t>
      </w:r>
      <w:r>
        <w:rPr>
          <w:rFonts w:hint="eastAsia" w:ascii="Times New Roman" w:hAnsi="Times New Roman" w:eastAsia="仿宋_GB2312" w:cs="仿宋_GB2312"/>
          <w:spacing w:val="-6"/>
          <w:sz w:val="32"/>
          <w:szCs w:val="32"/>
        </w:rPr>
        <w:t>经营质量管理</w:t>
      </w:r>
      <w:r>
        <w:rPr>
          <w:rFonts w:hint="eastAsia" w:ascii="Times New Roman" w:hAnsi="Times New Roman" w:eastAsia="仿宋_GB2312" w:cs="仿宋_GB2312"/>
          <w:spacing w:val="-6"/>
          <w:sz w:val="32"/>
          <w:szCs w:val="32"/>
          <w:lang w:val="en-US" w:eastAsia="zh-CN"/>
        </w:rPr>
        <w:t>有关规定</w:t>
      </w:r>
      <w:r>
        <w:rPr>
          <w:rFonts w:hint="eastAsia" w:ascii="Times New Roman" w:hAnsi="Times New Roman" w:eastAsia="仿宋_GB2312" w:cs="仿宋_GB2312"/>
          <w:spacing w:val="-6"/>
          <w:sz w:val="32"/>
          <w:szCs w:val="32"/>
        </w:rPr>
        <w:t>，结合本省实际，制订本</w:t>
      </w:r>
      <w:r>
        <w:rPr>
          <w:rFonts w:hint="eastAsia" w:ascii="Times New Roman" w:hAnsi="Times New Roman" w:eastAsia="仿宋_GB2312" w:cs="仿宋_GB2312"/>
          <w:spacing w:val="-6"/>
          <w:sz w:val="32"/>
          <w:szCs w:val="32"/>
          <w:lang w:val="en-US" w:eastAsia="zh-CN"/>
        </w:rPr>
        <w:t>指导</w:t>
      </w:r>
      <w:r>
        <w:rPr>
          <w:rFonts w:hint="eastAsia" w:ascii="Times New Roman" w:hAnsi="Times New Roman" w:eastAsia="仿宋_GB2312" w:cs="仿宋_GB2312"/>
          <w:spacing w:val="-6"/>
          <w:sz w:val="32"/>
          <w:szCs w:val="32"/>
        </w:rPr>
        <w:t>意见。</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b/>
          <w:bCs/>
          <w:sz w:val="32"/>
          <w:szCs w:val="32"/>
        </w:rPr>
        <w:t>第二条</w:t>
      </w:r>
      <w:r>
        <w:rPr>
          <w:rFonts w:hint="eastAsia" w:ascii="Times New Roman" w:hAnsi="Times New Roman" w:eastAsia="仿宋_GB2312" w:cs="仿宋_GB2312"/>
          <w:b/>
          <w:bCs/>
          <w:sz w:val="32"/>
          <w:szCs w:val="32"/>
          <w:lang w:val="en-US" w:eastAsia="zh-CN"/>
        </w:rPr>
        <w:t xml:space="preserve">  </w:t>
      </w:r>
      <w:r>
        <w:rPr>
          <w:rFonts w:hint="eastAsia" w:ascii="Times New Roman" w:hAnsi="Times New Roman" w:eastAsia="仿宋_GB2312" w:cs="仿宋_GB2312"/>
          <w:sz w:val="32"/>
          <w:szCs w:val="32"/>
        </w:rPr>
        <w:t>本指导意见适用于湖南省新开办的药品批发企业</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lang w:val="en-US" w:eastAsia="zh-CN"/>
        </w:rPr>
        <w:t>以下简称企业</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和接受委托储存</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运输药品的第三方药品现代物流企业（以下简称第三方物流企业）。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鼓励已开办的</w:t>
      </w:r>
      <w:r>
        <w:rPr>
          <w:rFonts w:hint="eastAsia" w:ascii="Times New Roman" w:hAnsi="Times New Roman" w:eastAsia="仿宋_GB2312" w:cs="仿宋_GB2312"/>
          <w:sz w:val="32"/>
          <w:szCs w:val="32"/>
          <w:lang w:val="en-US" w:eastAsia="zh-CN"/>
        </w:rPr>
        <w:t>药品批发</w:t>
      </w:r>
      <w:r>
        <w:rPr>
          <w:rFonts w:hint="eastAsia" w:ascii="Times New Roman" w:hAnsi="Times New Roman" w:eastAsia="仿宋_GB2312" w:cs="仿宋_GB2312"/>
          <w:sz w:val="32"/>
          <w:szCs w:val="32"/>
        </w:rPr>
        <w:t>企业逐步达到本指导意见规定的药品现代物流要求。</w:t>
      </w:r>
      <w:r>
        <w:rPr>
          <w:rFonts w:hint="eastAsia" w:ascii="Times New Roman" w:hAnsi="Times New Roman" w:eastAsia="仿宋_GB2312" w:cs="仿宋_GB2312"/>
          <w:sz w:val="32"/>
          <w:szCs w:val="32"/>
          <w:lang w:val="en-US" w:eastAsia="zh-CN"/>
        </w:rPr>
        <w:t>引导原已开展第三方药品现代物流业务的企业于2027年年底达到本指导意见相关要求。</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b/>
          <w:bCs/>
          <w:sz w:val="32"/>
          <w:szCs w:val="32"/>
        </w:rPr>
        <w:t>第三条</w:t>
      </w:r>
      <w:r>
        <w:rPr>
          <w:rFonts w:hint="eastAsia" w:ascii="Times New Roman" w:hAnsi="Times New Roman" w:eastAsia="仿宋_GB2312" w:cs="仿宋_GB2312"/>
          <w:b/>
          <w:bCs/>
          <w:sz w:val="32"/>
          <w:szCs w:val="32"/>
          <w:lang w:val="en-US" w:eastAsia="zh-CN"/>
        </w:rPr>
        <w:t xml:space="preserve">  </w:t>
      </w:r>
      <w:r>
        <w:rPr>
          <w:rFonts w:hint="eastAsia" w:ascii="Times New Roman" w:hAnsi="Times New Roman" w:eastAsia="仿宋_GB2312" w:cs="仿宋_GB2312"/>
          <w:sz w:val="32"/>
          <w:szCs w:val="32"/>
        </w:rPr>
        <w:t>药品现代物流是以符合国家药品经营质量管理有关规定为基础，具有适合药品储存和实现药品入库、验收、传送、分拣、上架、出库、复核、集货、运输等现代物流系统的装置和设备，具有独立的计算机信息管理系统以及覆盖药品收货、验收、储存、养护、出库、运输等环节的全过程的质量控制和信息追溯体系，实现药品物流过程的数字化、智能化、规模化、集约化、可追溯化</w:t>
      </w:r>
      <w:r>
        <w:rPr>
          <w:rFonts w:hint="eastAsia" w:ascii="Times New Roman" w:hAnsi="Times New Roman" w:eastAsia="仿宋_GB2312" w:cs="仿宋_GB2312"/>
          <w:sz w:val="32"/>
          <w:szCs w:val="32"/>
          <w:lang w:eastAsia="zh-CN"/>
        </w:rPr>
        <w:t>管理</w:t>
      </w:r>
      <w:r>
        <w:rPr>
          <w:rFonts w:hint="eastAsia" w:ascii="Times New Roman" w:hAnsi="Times New Roman"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b/>
          <w:bCs/>
          <w:sz w:val="32"/>
          <w:szCs w:val="32"/>
        </w:rPr>
        <w:t>第四条</w:t>
      </w:r>
      <w:r>
        <w:rPr>
          <w:rFonts w:hint="eastAsia" w:ascii="Times New Roman" w:hAnsi="Times New Roman" w:eastAsia="仿宋_GB2312" w:cs="仿宋_GB2312"/>
          <w:b/>
          <w:bCs/>
          <w:sz w:val="32"/>
          <w:szCs w:val="32"/>
          <w:lang w:val="en-US" w:eastAsia="zh-CN"/>
        </w:rPr>
        <w:t xml:space="preserve">  </w:t>
      </w:r>
      <w:r>
        <w:rPr>
          <w:rFonts w:hint="eastAsia" w:ascii="Times New Roman" w:hAnsi="Times New Roman" w:eastAsia="仿宋_GB2312" w:cs="仿宋_GB2312"/>
          <w:sz w:val="32"/>
          <w:szCs w:val="32"/>
        </w:rPr>
        <w:t>药品批发企业和第三方物流企业应当按照国家药品监督管理局制定的统一药品追溯标准和规范以及</w:t>
      </w:r>
      <w:r>
        <w:rPr>
          <w:rFonts w:hint="eastAsia" w:ascii="Times New Roman" w:hAnsi="Times New Roman" w:eastAsia="仿宋_GB2312" w:cs="仿宋_GB2312"/>
          <w:sz w:val="32"/>
          <w:szCs w:val="32"/>
          <w:lang w:val="en-US" w:eastAsia="zh-CN"/>
        </w:rPr>
        <w:t>省级药品监督管理部门</w:t>
      </w:r>
      <w:r>
        <w:rPr>
          <w:rFonts w:hint="eastAsia" w:ascii="Times New Roman" w:hAnsi="Times New Roman" w:eastAsia="仿宋_GB2312" w:cs="仿宋_GB2312"/>
          <w:sz w:val="32"/>
          <w:szCs w:val="32"/>
        </w:rPr>
        <w:t>关于药品追溯相关要求</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建立并实施药品追溯制度，配合上市许可持有人落实药品追溯主体责任。确保全过程数据真实、准确、完整、实时、可追溯。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Times New Roman" w:hAnsi="Times New Roman" w:eastAsia="黑体" w:cs="黑体"/>
          <w:b w:val="0"/>
          <w:bCs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Times New Roman" w:hAnsi="Times New Roman" w:eastAsia="黑体" w:cs="黑体"/>
          <w:b w:val="0"/>
          <w:bCs w:val="0"/>
          <w:sz w:val="32"/>
          <w:szCs w:val="32"/>
        </w:rPr>
      </w:pPr>
      <w:r>
        <w:rPr>
          <w:rFonts w:hint="eastAsia" w:ascii="Times New Roman" w:hAnsi="Times New Roman" w:eastAsia="黑体" w:cs="黑体"/>
          <w:b w:val="0"/>
          <w:bCs w:val="0"/>
          <w:sz w:val="32"/>
          <w:szCs w:val="32"/>
        </w:rPr>
        <w:t>第二章</w:t>
      </w:r>
      <w:r>
        <w:rPr>
          <w:rFonts w:hint="eastAsia" w:ascii="Times New Roman" w:hAnsi="Times New Roman" w:eastAsia="黑体" w:cs="黑体"/>
          <w:b w:val="0"/>
          <w:bCs w:val="0"/>
          <w:sz w:val="32"/>
          <w:szCs w:val="32"/>
          <w:lang w:val="en-US" w:eastAsia="zh-CN"/>
        </w:rPr>
        <w:t xml:space="preserve">  </w:t>
      </w:r>
      <w:r>
        <w:rPr>
          <w:rFonts w:hint="eastAsia" w:ascii="Times New Roman" w:hAnsi="Times New Roman" w:eastAsia="黑体" w:cs="黑体"/>
          <w:b w:val="0"/>
          <w:bCs w:val="0"/>
          <w:sz w:val="32"/>
          <w:szCs w:val="32"/>
        </w:rPr>
        <w:t xml:space="preserve">组织机构与人员 </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b/>
          <w:bCs/>
          <w:sz w:val="32"/>
          <w:szCs w:val="32"/>
        </w:rPr>
        <w:t>第五条</w:t>
      </w:r>
      <w:r>
        <w:rPr>
          <w:rFonts w:hint="eastAsia" w:ascii="Times New Roman" w:hAnsi="Times New Roman" w:eastAsia="仿宋_GB2312" w:cs="仿宋_GB2312"/>
          <w:b/>
          <w:bCs/>
          <w:sz w:val="32"/>
          <w:szCs w:val="32"/>
          <w:lang w:val="en-US" w:eastAsia="zh-CN"/>
        </w:rPr>
        <w:t xml:space="preserve">  </w:t>
      </w:r>
      <w:r>
        <w:rPr>
          <w:rFonts w:hint="eastAsia" w:ascii="Times New Roman" w:hAnsi="Times New Roman" w:eastAsia="仿宋_GB2312" w:cs="仿宋_GB2312"/>
          <w:sz w:val="32"/>
          <w:szCs w:val="32"/>
        </w:rPr>
        <w:t xml:space="preserve">企业应当建立覆盖质量管理、验收养护、物流管理、信息管理等活动的质量管理体系，依据经营范围、经营规模设置相应机构和岗位，并配备具有相应技术资质和能力的人员。企业从事物流质量管理、验收、养护、运输等人员应当经过药品储运相关的法律法规培训。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质量负责人应当充分行使质量管理职能，对</w:t>
      </w:r>
      <w:r>
        <w:rPr>
          <w:rFonts w:hint="eastAsia" w:ascii="Times New Roman" w:hAnsi="Times New Roman" w:eastAsia="仿宋_GB2312" w:cs="仿宋_GB2312"/>
          <w:sz w:val="32"/>
          <w:szCs w:val="32"/>
          <w:lang w:val="en-US" w:eastAsia="zh-CN"/>
        </w:rPr>
        <w:t>本企业</w:t>
      </w:r>
      <w:r>
        <w:rPr>
          <w:rFonts w:hint="eastAsia" w:ascii="Times New Roman" w:hAnsi="Times New Roman" w:eastAsia="仿宋_GB2312" w:cs="仿宋_GB2312"/>
          <w:sz w:val="32"/>
          <w:szCs w:val="32"/>
        </w:rPr>
        <w:t xml:space="preserve">药品质量具有裁决权，保证药品经营全过程持续符合法定要求。 </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b/>
          <w:bCs/>
          <w:sz w:val="32"/>
          <w:szCs w:val="32"/>
        </w:rPr>
        <w:t>第六条</w:t>
      </w:r>
      <w:r>
        <w:rPr>
          <w:rFonts w:hint="eastAsia" w:ascii="Times New Roman" w:hAnsi="Times New Roman" w:eastAsia="仿宋_GB2312" w:cs="仿宋_GB2312"/>
          <w:b/>
          <w:bCs/>
          <w:sz w:val="32"/>
          <w:szCs w:val="32"/>
          <w:lang w:val="en-US" w:eastAsia="zh-CN"/>
        </w:rPr>
        <w:t xml:space="preserve">  </w:t>
      </w:r>
      <w:r>
        <w:rPr>
          <w:rFonts w:hint="eastAsia" w:ascii="Times New Roman" w:hAnsi="Times New Roman" w:eastAsia="仿宋_GB2312" w:cs="仿宋_GB2312"/>
          <w:sz w:val="32"/>
          <w:szCs w:val="32"/>
        </w:rPr>
        <w:t>企业法定代表人、主要负责人对药品经营活动全面负责。企业法定代表人、主要负责人、质量负责人等从事药品经营和质量管理工作的人员应当符合药品GSP规定的资格要求，不得有《中华人民共和国药品管理法》《中华人民共和国疫苗管理法》等相关法律禁止从事药品经营活动的情形</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lang w:val="en-US" w:eastAsia="zh-CN"/>
        </w:rPr>
        <w:t>并符合</w:t>
      </w:r>
      <w:r>
        <w:rPr>
          <w:rFonts w:hint="eastAsia" w:ascii="Times New Roman" w:hAnsi="Times New Roman" w:eastAsia="仿宋_GB2312" w:cs="仿宋_GB2312"/>
          <w:sz w:val="32"/>
          <w:szCs w:val="32"/>
        </w:rPr>
        <w:t>下列要求：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（一）</w:t>
      </w:r>
      <w:r>
        <w:rPr>
          <w:rFonts w:hint="eastAsia" w:ascii="Times New Roman" w:hAnsi="Times New Roman" w:eastAsia="仿宋_GB2312" w:cs="仿宋_GB2312"/>
          <w:sz w:val="32"/>
          <w:szCs w:val="32"/>
          <w:lang w:val="en-US" w:eastAsia="zh-CN"/>
        </w:rPr>
        <w:t>企业主要</w:t>
      </w:r>
      <w:r>
        <w:rPr>
          <w:rFonts w:hint="eastAsia" w:ascii="Times New Roman" w:hAnsi="Times New Roman" w:eastAsia="仿宋_GB2312" w:cs="仿宋_GB2312"/>
          <w:sz w:val="32"/>
          <w:szCs w:val="32"/>
        </w:rPr>
        <w:t>负责人应当具有大学专科以上学历或者中级以上专业技术职称，经过基本的药学专业知识培训，熟悉有关药品管理的法律法规及本意见；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（二）</w:t>
      </w:r>
      <w:r>
        <w:rPr>
          <w:rFonts w:hint="eastAsia" w:ascii="Times New Roman" w:hAnsi="Times New Roman" w:eastAsia="仿宋_GB2312" w:cs="仿宋_GB2312"/>
          <w:sz w:val="32"/>
          <w:szCs w:val="32"/>
          <w:lang w:eastAsia="zh-CN"/>
        </w:rPr>
        <w:t>企业</w:t>
      </w:r>
      <w:r>
        <w:rPr>
          <w:rFonts w:hint="eastAsia" w:ascii="Times New Roman" w:hAnsi="Times New Roman" w:eastAsia="仿宋_GB2312" w:cs="仿宋_GB2312"/>
          <w:sz w:val="32"/>
          <w:szCs w:val="32"/>
        </w:rPr>
        <w:t>质量负责人应当具有大学本科以上学历、执业药师资格和3年以上药品经营质量管理工作经历，在质量管理工作中具备正确判断和保障实施的能力；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（三）质量部门负责人应当具有执业药师资格和3年以上药品经营质量管理工作经历，能独立解决经营过程中的质量问题；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color w:val="333333"/>
          <w:sz w:val="32"/>
          <w:szCs w:val="32"/>
          <w:shd w:val="clear" w:color="auto" w:fill="FFFFFF"/>
        </w:rPr>
        <w:t> </w:t>
      </w:r>
      <w:r>
        <w:rPr>
          <w:rFonts w:hint="eastAsia" w:ascii="Times New Roman" w:hAnsi="Times New Roman" w:eastAsia="仿宋_GB2312" w:cs="仿宋_GB2312"/>
          <w:sz w:val="32"/>
          <w:szCs w:val="32"/>
        </w:rPr>
        <w:t>（四）经营中药饮片的企业，质量管理部门应当配备不少于一名具有中药学执业药师资格或中药学中级以上专业技术职称和3年以上中药经营质量管理工作经历的质管员，能独立解决中药材、中药饮片经营过程中质量问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（五）企业应当对各岗位人员进行与其职责和工作内容相关的岗前培训和继续培训，熟悉《</w:t>
      </w:r>
      <w:r>
        <w:rPr>
          <w:rFonts w:hint="eastAsia" w:ascii="Times New Roman" w:hAnsi="Times New Roman" w:eastAsia="仿宋_GB2312" w:cs="仿宋_GB2312"/>
          <w:sz w:val="32"/>
          <w:szCs w:val="32"/>
          <w:lang w:val="en-US" w:eastAsia="zh-CN"/>
        </w:rPr>
        <w:t>中华人民共和国</w:t>
      </w:r>
      <w:r>
        <w:rPr>
          <w:rFonts w:hint="eastAsia" w:ascii="Times New Roman" w:hAnsi="Times New Roman" w:eastAsia="仿宋_GB2312" w:cs="仿宋_GB2312"/>
          <w:sz w:val="32"/>
          <w:szCs w:val="32"/>
        </w:rPr>
        <w:t>药品管理法》《</w:t>
      </w:r>
      <w:r>
        <w:rPr>
          <w:rFonts w:hint="eastAsia" w:ascii="Times New Roman" w:hAnsi="Times New Roman" w:eastAsia="仿宋_GB2312" w:cs="仿宋_GB2312"/>
          <w:sz w:val="32"/>
          <w:szCs w:val="32"/>
          <w:lang w:val="en-US" w:eastAsia="zh-CN"/>
        </w:rPr>
        <w:t>中华人民共和国</w:t>
      </w:r>
      <w:r>
        <w:rPr>
          <w:rFonts w:hint="eastAsia" w:ascii="Times New Roman" w:hAnsi="Times New Roman" w:eastAsia="仿宋_GB2312" w:cs="仿宋_GB2312"/>
          <w:sz w:val="32"/>
          <w:szCs w:val="32"/>
        </w:rPr>
        <w:t>药品管理法实施条例》</w:t>
      </w:r>
      <w:r>
        <w:rPr>
          <w:rFonts w:hint="eastAsia" w:ascii="Times New Roman" w:hAnsi="Times New Roman" w:eastAsia="仿宋_GB2312" w:cs="仿宋_GB2312"/>
          <w:sz w:val="32"/>
          <w:szCs w:val="32"/>
          <w:lang w:val="en-US" w:eastAsia="zh-CN"/>
        </w:rPr>
        <w:t>以及</w:t>
      </w:r>
      <w:r>
        <w:rPr>
          <w:rFonts w:hint="eastAsia" w:ascii="Times New Roman" w:hAnsi="Times New Roman" w:eastAsia="仿宋_GB2312" w:cs="仿宋_GB2312"/>
          <w:sz w:val="32"/>
          <w:szCs w:val="32"/>
        </w:rPr>
        <w:t>国家药品经营质量管理有关规定</w:t>
      </w:r>
      <w:r>
        <w:rPr>
          <w:rFonts w:hint="eastAsia" w:ascii="Times New Roman" w:hAnsi="Times New Roman" w:eastAsia="仿宋_GB2312" w:cs="仿宋_GB2312"/>
          <w:sz w:val="32"/>
          <w:szCs w:val="32"/>
          <w:lang w:eastAsia="zh-CN"/>
        </w:rPr>
        <w:t>以及物流管理的</w:t>
      </w:r>
      <w:r>
        <w:rPr>
          <w:rFonts w:hint="eastAsia" w:ascii="Times New Roman" w:hAnsi="Times New Roman" w:eastAsia="仿宋_GB2312" w:cs="仿宋_GB2312"/>
          <w:sz w:val="32"/>
          <w:szCs w:val="32"/>
        </w:rPr>
        <w:t>要求，熟悉药品知识，掌握相应专业技术，符合岗位技能要求</w:t>
      </w:r>
      <w:r>
        <w:rPr>
          <w:rFonts w:hint="eastAsia" w:ascii="Times New Roman" w:hAnsi="Times New Roman"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 xml:space="preserve">（六）企业应组织质量管理、验收、养护、储存等直接接触药品岗位的人员进行岗前及年度健康检查，并建立健康档案。 </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b/>
          <w:bCs/>
          <w:sz w:val="32"/>
          <w:szCs w:val="32"/>
        </w:rPr>
        <w:t>第七条</w:t>
      </w:r>
      <w:r>
        <w:rPr>
          <w:rFonts w:hint="eastAsia" w:ascii="Times New Roman" w:hAnsi="Times New Roman" w:eastAsia="仿宋_GB2312" w:cs="仿宋_GB2312"/>
          <w:b/>
          <w:bCs/>
          <w:sz w:val="32"/>
          <w:szCs w:val="32"/>
          <w:lang w:val="en-US" w:eastAsia="zh-CN"/>
        </w:rPr>
        <w:t xml:space="preserve">  </w:t>
      </w:r>
      <w:r>
        <w:rPr>
          <w:rFonts w:hint="eastAsia" w:ascii="Times New Roman" w:hAnsi="Times New Roman" w:eastAsia="仿宋_GB2312" w:cs="仿宋_GB2312"/>
          <w:sz w:val="32"/>
          <w:szCs w:val="32"/>
        </w:rPr>
        <w:t xml:space="preserve">企业应当分别设立与其药品现代物流业务相适应的物流管理部门和信息管理部门，其中物流管理人员应当具备物流相关专业大学本科学历或国家认可的物流相关专业职业资格（含职称）；计算机管理人员应当具备计算机相关专业大学本科学历或国家认可的计算机相关专业职业资格（含职称）。企业应当具有相应的设备运营、维护人员。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Times New Roman" w:hAnsi="Times New Roman" w:eastAsia="黑体" w:cs="黑体"/>
          <w:b w:val="0"/>
          <w:bCs w:val="0"/>
          <w:sz w:val="32"/>
          <w:szCs w:val="32"/>
        </w:rPr>
      </w:pPr>
      <w:r>
        <w:rPr>
          <w:rFonts w:hint="eastAsia" w:ascii="Times New Roman" w:hAnsi="Times New Roman" w:eastAsia="黑体" w:cs="黑体"/>
          <w:b w:val="0"/>
          <w:bCs w:val="0"/>
          <w:sz w:val="32"/>
          <w:szCs w:val="32"/>
        </w:rPr>
        <w:t>第三章</w:t>
      </w:r>
      <w:r>
        <w:rPr>
          <w:rFonts w:hint="eastAsia" w:ascii="Times New Roman" w:hAnsi="Times New Roman" w:eastAsia="黑体" w:cs="黑体"/>
          <w:b w:val="0"/>
          <w:bCs w:val="0"/>
          <w:sz w:val="32"/>
          <w:szCs w:val="32"/>
          <w:lang w:val="en-US" w:eastAsia="zh-CN"/>
        </w:rPr>
        <w:t xml:space="preserve">  </w:t>
      </w:r>
      <w:r>
        <w:rPr>
          <w:rFonts w:hint="eastAsia" w:ascii="Times New Roman" w:hAnsi="Times New Roman" w:eastAsia="黑体" w:cs="黑体"/>
          <w:b w:val="0"/>
          <w:bCs w:val="0"/>
          <w:sz w:val="32"/>
          <w:szCs w:val="32"/>
        </w:rPr>
        <w:t>设施与设备</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b/>
          <w:bCs/>
          <w:sz w:val="32"/>
          <w:szCs w:val="32"/>
        </w:rPr>
        <w:t>第八条</w:t>
      </w:r>
      <w:r>
        <w:rPr>
          <w:rFonts w:hint="eastAsia" w:ascii="Times New Roman" w:hAnsi="Times New Roman" w:eastAsia="仿宋_GB2312" w:cs="仿宋_GB2312"/>
          <w:b/>
          <w:bCs/>
          <w:sz w:val="32"/>
          <w:szCs w:val="32"/>
          <w:lang w:val="en-US" w:eastAsia="zh-CN"/>
        </w:rPr>
        <w:t xml:space="preserve">  </w:t>
      </w:r>
      <w:r>
        <w:rPr>
          <w:rFonts w:hint="eastAsia" w:ascii="Times New Roman" w:hAnsi="Times New Roman" w:eastAsia="仿宋_GB2312" w:cs="仿宋_GB2312"/>
          <w:sz w:val="32"/>
          <w:szCs w:val="32"/>
        </w:rPr>
        <w:t>企业应当具有符合国家药品经营质量管理有关规定要求，且与经营范围和药品物流规模相适应的场所（不得设在中药材专业市场内）、仓库、物流设备及运输车辆，具备承接药品现代物流业务的储存、配送能力。</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b/>
          <w:bCs/>
          <w:sz w:val="32"/>
          <w:szCs w:val="32"/>
        </w:rPr>
        <w:t>第九条</w:t>
      </w:r>
      <w:r>
        <w:rPr>
          <w:rFonts w:hint="eastAsia" w:ascii="Times New Roman" w:hAnsi="Times New Roman" w:eastAsia="仿宋_GB2312" w:cs="仿宋_GB2312"/>
          <w:b/>
          <w:bCs/>
          <w:sz w:val="32"/>
          <w:szCs w:val="32"/>
          <w:lang w:val="en-US" w:eastAsia="zh-CN"/>
        </w:rPr>
        <w:t xml:space="preserve">  </w:t>
      </w:r>
      <w:r>
        <w:rPr>
          <w:rFonts w:hint="eastAsia" w:ascii="Times New Roman" w:hAnsi="Times New Roman" w:eastAsia="仿宋_GB2312" w:cs="仿宋_GB2312"/>
          <w:sz w:val="32"/>
          <w:szCs w:val="32"/>
        </w:rPr>
        <w:t xml:space="preserve">仓库的选址、设计、布局、建造、改造和维护应当符合药品储存要求、防止药品被污染、交叉污染、混淆和差错。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（一）仓库应当为相对独立的库房，应当为符合国家环保</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lang w:val="en-US" w:eastAsia="zh-CN"/>
        </w:rPr>
        <w:t>建筑安全、</w:t>
      </w:r>
      <w:r>
        <w:rPr>
          <w:rFonts w:hint="eastAsia" w:ascii="Times New Roman" w:hAnsi="Times New Roman" w:eastAsia="仿宋_GB2312" w:cs="仿宋_GB2312"/>
          <w:sz w:val="32"/>
          <w:szCs w:val="32"/>
        </w:rPr>
        <w:t>消防</w:t>
      </w:r>
      <w:r>
        <w:rPr>
          <w:rFonts w:hint="eastAsia" w:ascii="Times New Roman" w:hAnsi="Times New Roman" w:eastAsia="仿宋_GB2312" w:cs="仿宋_GB2312"/>
          <w:sz w:val="32"/>
          <w:szCs w:val="32"/>
          <w:lang w:val="en-US" w:eastAsia="zh-CN"/>
        </w:rPr>
        <w:t>安全</w:t>
      </w:r>
      <w:r>
        <w:rPr>
          <w:rFonts w:hint="eastAsia" w:ascii="Times New Roman" w:hAnsi="Times New Roman" w:eastAsia="仿宋_GB2312" w:cs="仿宋_GB2312"/>
          <w:sz w:val="32"/>
          <w:szCs w:val="32"/>
        </w:rPr>
        <w:t xml:space="preserve">等相关标准要求的合法建筑，且为自营仓库。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 xml:space="preserve">（二）仓库内外环境整洁、无污染源，且与周边其他企业、生活区域或设施保持相对独立；仓库建筑内应无异味、蒸汽、有害气体、污水、粉尘等影响药品储存质量安全的因素。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（三）经营场所和仓库应当有效物理隔离，仓库与周边环境及其他企业的人流、物流严格分开，并配备防盗、视频监控等设施设备，防止差错。</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b/>
          <w:bCs/>
          <w:sz w:val="32"/>
          <w:szCs w:val="32"/>
        </w:rPr>
        <w:t>第十条</w:t>
      </w:r>
      <w:r>
        <w:rPr>
          <w:rFonts w:hint="eastAsia" w:ascii="Times New Roman" w:hAnsi="Times New Roman" w:eastAsia="仿宋_GB2312" w:cs="仿宋_GB2312"/>
          <w:b/>
          <w:bCs/>
          <w:sz w:val="32"/>
          <w:szCs w:val="32"/>
          <w:lang w:val="en-US" w:eastAsia="zh-CN"/>
        </w:rPr>
        <w:t xml:space="preserve">  </w:t>
      </w:r>
      <w:r>
        <w:rPr>
          <w:rFonts w:hint="eastAsia" w:ascii="Times New Roman" w:hAnsi="Times New Roman" w:eastAsia="仿宋_GB2312" w:cs="仿宋_GB2312"/>
          <w:sz w:val="32"/>
          <w:szCs w:val="32"/>
        </w:rPr>
        <w:t>企业仓储应当能满足物流规模和作业流程的需要，配备现代物流相关设施设备，并符合以下要求：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（一）企业仓库储存区整体建筑面积不少于10000平方米或</w:t>
      </w:r>
      <w:r>
        <w:rPr>
          <w:rFonts w:hint="eastAsia" w:ascii="Times New Roman" w:hAnsi="Times New Roman" w:eastAsia="仿宋_GB2312" w:cs="仿宋_GB2312"/>
          <w:spacing w:val="-6"/>
          <w:sz w:val="32"/>
          <w:szCs w:val="32"/>
        </w:rPr>
        <w:t>容积不少于50000立方米，整件货仓库容积不得少于</w:t>
      </w:r>
      <w:r>
        <w:rPr>
          <w:rFonts w:hint="eastAsia" w:ascii="Times New Roman" w:hAnsi="Times New Roman" w:eastAsia="仿宋_GB2312" w:cs="仿宋_GB2312"/>
          <w:spacing w:val="-6"/>
          <w:sz w:val="32"/>
          <w:szCs w:val="32"/>
          <w:lang w:val="en-US" w:eastAsia="zh-CN"/>
        </w:rPr>
        <w:t>10000</w:t>
      </w:r>
      <w:r>
        <w:rPr>
          <w:rFonts w:hint="eastAsia" w:ascii="Times New Roman" w:hAnsi="Times New Roman" w:eastAsia="仿宋_GB2312" w:cs="仿宋_GB2312"/>
          <w:spacing w:val="-6"/>
          <w:sz w:val="32"/>
          <w:szCs w:val="32"/>
        </w:rPr>
        <w:t>立方米。</w:t>
      </w:r>
      <w:r>
        <w:rPr>
          <w:rFonts w:hint="eastAsia" w:ascii="Times New Roman" w:hAnsi="Times New Roman"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（二）仓库按药品储存要求，可分为常温库、阴凉库和冷库等库区。原则上阴凉库应达到仓库总面积</w:t>
      </w:r>
      <w:r>
        <w:rPr>
          <w:rFonts w:hint="eastAsia" w:ascii="Times New Roman" w:hAnsi="Times New Roman" w:eastAsia="仿宋_GB2312" w:cs="仿宋_GB2312"/>
          <w:sz w:val="32"/>
          <w:szCs w:val="32"/>
          <w:lang w:val="en-US" w:eastAsia="zh-CN"/>
        </w:rPr>
        <w:t>和总容积</w:t>
      </w:r>
      <w:r>
        <w:rPr>
          <w:rFonts w:hint="eastAsia" w:ascii="Times New Roman" w:hAnsi="Times New Roman" w:eastAsia="仿宋_GB2312" w:cs="仿宋_GB2312"/>
          <w:sz w:val="32"/>
          <w:szCs w:val="32"/>
        </w:rPr>
        <w:t>50%以上。经营冷链药品的，应当至少配备2个独立冷库，总面积不少于</w:t>
      </w:r>
      <w:r>
        <w:rPr>
          <w:rFonts w:hint="eastAsia" w:ascii="Times New Roman" w:hAnsi="Times New Roman" w:eastAsia="仿宋_GB2312" w:cs="仿宋_GB2312"/>
          <w:sz w:val="32"/>
          <w:szCs w:val="32"/>
          <w:lang w:val="en-US" w:eastAsia="zh-CN"/>
        </w:rPr>
        <w:t>120</w:t>
      </w:r>
      <w:r>
        <w:rPr>
          <w:rFonts w:hint="eastAsia" w:ascii="Times New Roman" w:hAnsi="Times New Roman" w:eastAsia="仿宋_GB2312" w:cs="仿宋_GB2312"/>
          <w:sz w:val="32"/>
          <w:szCs w:val="32"/>
        </w:rPr>
        <w:t>平方米、总容积不少于300立方米，冷库应有与经营规模相适应的冷链作业缓冲区（温度</w:t>
      </w:r>
      <w:r>
        <w:rPr>
          <w:rFonts w:hint="eastAsia" w:ascii="Times New Roman" w:hAnsi="Times New Roman" w:eastAsia="仿宋_GB2312" w:cs="仿宋_GB2312"/>
          <w:sz w:val="32"/>
          <w:szCs w:val="32"/>
          <w:lang w:eastAsia="zh-CN"/>
        </w:rPr>
        <w:t>区间为</w:t>
      </w:r>
      <w:r>
        <w:rPr>
          <w:rFonts w:hint="eastAsia" w:ascii="Times New Roman" w:hAnsi="Times New Roman" w:eastAsia="仿宋_GB2312" w:cs="仿宋_GB2312"/>
          <w:sz w:val="32"/>
          <w:szCs w:val="32"/>
          <w:lang w:val="en-US" w:eastAsia="zh-CN"/>
        </w:rPr>
        <w:t>2-15</w:t>
      </w:r>
      <w:r>
        <w:rPr>
          <w:rFonts w:hint="eastAsia" w:ascii="Times New Roman" w:hAnsi="Times New Roman" w:eastAsia="仿宋_GB2312" w:cs="仿宋_GB2312"/>
          <w:sz w:val="32"/>
          <w:szCs w:val="32"/>
        </w:rPr>
        <w:t>℃），作为冷链药品装卸、存放包装的专用场所。开展疫苗配送业务的企业，应配备不少于</w:t>
      </w:r>
      <w:r>
        <w:rPr>
          <w:rFonts w:hint="eastAsia" w:ascii="Times New Roman" w:hAnsi="Times New Roman" w:eastAsia="仿宋_GB2312" w:cs="仿宋_GB2312"/>
          <w:sz w:val="32"/>
          <w:szCs w:val="32"/>
          <w:lang w:val="en-US" w:eastAsia="zh-CN"/>
        </w:rPr>
        <w:t>2</w:t>
      </w:r>
      <w:r>
        <w:rPr>
          <w:rFonts w:hint="eastAsia" w:ascii="Times New Roman" w:hAnsi="Times New Roman" w:eastAsia="仿宋_GB2312" w:cs="仿宋_GB2312"/>
          <w:sz w:val="32"/>
          <w:szCs w:val="32"/>
        </w:rPr>
        <w:t>个以上独立</w:t>
      </w:r>
      <w:r>
        <w:rPr>
          <w:rFonts w:hint="eastAsia" w:ascii="Times New Roman" w:hAnsi="Times New Roman" w:eastAsia="仿宋_GB2312" w:cs="仿宋_GB2312"/>
          <w:sz w:val="32"/>
          <w:szCs w:val="32"/>
          <w:lang w:eastAsia="zh-CN"/>
        </w:rPr>
        <w:t>的</w:t>
      </w:r>
      <w:r>
        <w:rPr>
          <w:rFonts w:hint="eastAsia" w:ascii="Times New Roman" w:hAnsi="Times New Roman" w:eastAsia="仿宋_GB2312" w:cs="仿宋_GB2312"/>
          <w:sz w:val="32"/>
          <w:szCs w:val="32"/>
          <w:lang w:val="en-US" w:eastAsia="zh-CN"/>
        </w:rPr>
        <w:t>疫苗专用</w:t>
      </w:r>
      <w:r>
        <w:rPr>
          <w:rFonts w:hint="eastAsia" w:ascii="Times New Roman" w:hAnsi="Times New Roman" w:eastAsia="仿宋_GB2312" w:cs="仿宋_GB2312"/>
          <w:sz w:val="32"/>
          <w:szCs w:val="32"/>
        </w:rPr>
        <w:t>冷库，</w:t>
      </w:r>
      <w:r>
        <w:rPr>
          <w:rFonts w:hint="eastAsia" w:ascii="Times New Roman" w:hAnsi="Times New Roman" w:eastAsia="仿宋_GB2312" w:cs="仿宋_GB2312"/>
          <w:sz w:val="32"/>
          <w:szCs w:val="32"/>
          <w:lang w:val="en-US" w:eastAsia="zh-CN"/>
        </w:rPr>
        <w:t>总</w:t>
      </w:r>
      <w:r>
        <w:rPr>
          <w:rFonts w:hint="eastAsia" w:ascii="Times New Roman" w:hAnsi="Times New Roman" w:eastAsia="仿宋_GB2312" w:cs="仿宋_GB2312"/>
          <w:sz w:val="32"/>
          <w:szCs w:val="32"/>
        </w:rPr>
        <w:t>容积500立方米以上。企业经营特殊储存温度要求药品的，还应配备与经营品种和规模相适应的仓库和设施。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 xml:space="preserve">（三）收货验收、分拣复核、集货配送等作业区面积应满足现代物流作业需要，出库复核区、集货区需集中设置（特殊管理药品、冷藏冷冻药品除外）。 </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Times New Roman" w:hAnsi="Times New Roman" w:eastAsia="仿宋_GB2312" w:cs="仿宋_GB2312"/>
          <w:color w:val="5B9BD5" w:themeColor="accent1"/>
          <w:sz w:val="32"/>
          <w:szCs w:val="32"/>
          <w14:textFill>
            <w14:solidFill>
              <w14:schemeClr w14:val="accent1"/>
            </w14:solidFill>
          </w14:textFill>
        </w:rPr>
      </w:pPr>
      <w:r>
        <w:rPr>
          <w:rFonts w:hint="eastAsia" w:ascii="Times New Roman" w:hAnsi="Times New Roman" w:eastAsia="仿宋_GB2312" w:cs="仿宋_GB2312"/>
          <w:b/>
          <w:bCs/>
          <w:sz w:val="32"/>
          <w:szCs w:val="32"/>
        </w:rPr>
        <w:t>第十一条</w:t>
      </w:r>
      <w:r>
        <w:rPr>
          <w:rFonts w:hint="eastAsia" w:ascii="Times New Roman" w:hAnsi="Times New Roman" w:eastAsia="仿宋_GB2312" w:cs="仿宋_GB2312"/>
          <w:b/>
          <w:bCs/>
          <w:sz w:val="32"/>
          <w:szCs w:val="32"/>
          <w:lang w:val="en-US" w:eastAsia="zh-CN"/>
        </w:rPr>
        <w:t xml:space="preserve">  </w:t>
      </w:r>
      <w:r>
        <w:rPr>
          <w:rFonts w:hint="eastAsia" w:ascii="Times New Roman" w:hAnsi="Times New Roman" w:eastAsia="仿宋_GB2312" w:cs="仿宋_GB2312"/>
          <w:sz w:val="32"/>
          <w:szCs w:val="32"/>
        </w:rPr>
        <w:t>企业应当配备可以实现药品入库、验收、传送</w:t>
      </w:r>
      <w:r>
        <w:rPr>
          <w:rFonts w:hint="eastAsia" w:ascii="Times New Roman" w:hAnsi="Times New Roman" w:eastAsia="仿宋_GB2312" w:cs="仿宋_GB2312"/>
          <w:color w:val="auto"/>
          <w:sz w:val="32"/>
          <w:szCs w:val="32"/>
        </w:rPr>
        <w:t>、分拣、上架、出库、复核、集货等现代物流</w:t>
      </w:r>
      <w:r>
        <w:rPr>
          <w:rFonts w:hint="eastAsia" w:ascii="Times New Roman" w:hAnsi="Times New Roman" w:eastAsia="仿宋_GB2312" w:cs="仿宋_GB2312"/>
          <w:color w:val="auto"/>
          <w:sz w:val="32"/>
          <w:szCs w:val="32"/>
          <w:lang w:val="en-US" w:eastAsia="zh-CN"/>
        </w:rPr>
        <w:t>自动化及半自动化</w:t>
      </w:r>
      <w:r>
        <w:rPr>
          <w:rFonts w:hint="eastAsia" w:ascii="Times New Roman" w:hAnsi="Times New Roman" w:eastAsia="仿宋_GB2312" w:cs="仿宋_GB2312"/>
          <w:color w:val="auto"/>
          <w:sz w:val="32"/>
          <w:szCs w:val="32"/>
        </w:rPr>
        <w:t>作业的设施、设备，确保药品物流作业流畅连贯，降低混淆和差错风险。设施设备的材质、涂层应当不释放有毒、</w:t>
      </w:r>
      <w:r>
        <w:rPr>
          <w:rFonts w:hint="eastAsia" w:ascii="Times New Roman" w:hAnsi="Times New Roman" w:eastAsia="仿宋_GB2312" w:cs="仿宋_GB2312"/>
          <w:sz w:val="32"/>
          <w:szCs w:val="32"/>
        </w:rPr>
        <w:t xml:space="preserve">有害物质，不易霉变、吸潮，不影响药品质量安全。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仿宋_GB2312"/>
          <w:sz w:val="32"/>
          <w:szCs w:val="32"/>
        </w:rPr>
      </w:pPr>
      <w:r>
        <w:rPr>
          <w:rFonts w:hint="eastAsia" w:ascii="楷体_GB2312" w:hAnsi="楷体_GB2312" w:eastAsia="楷体_GB2312" w:cs="楷体_GB2312"/>
          <w:sz w:val="32"/>
          <w:szCs w:val="32"/>
        </w:rPr>
        <w:t>（一）入库管理设备。</w:t>
      </w:r>
      <w:r>
        <w:rPr>
          <w:rFonts w:hint="eastAsia" w:ascii="Times New Roman" w:hAnsi="Times New Roman" w:eastAsia="仿宋_GB2312" w:cs="仿宋_GB2312"/>
          <w:sz w:val="32"/>
          <w:szCs w:val="32"/>
        </w:rPr>
        <w:t>在仓储管理系统（WMS）的协同控制下，根据面积、储存方式、距离等要素，采用适宜设备</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如动力输送线、巷道堆垛机、自动导向搬运车（AGV）、穿梭车、必要时辅助用的电动叉车等</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 xml:space="preserve">实现货位自动分配、自动识别、自动寻址功能。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仿宋_GB2312"/>
          <w:sz w:val="32"/>
          <w:szCs w:val="32"/>
        </w:rPr>
      </w:pPr>
      <w:r>
        <w:rPr>
          <w:rFonts w:hint="eastAsia" w:ascii="楷体_GB2312" w:hAnsi="楷体_GB2312" w:eastAsia="楷体_GB2312" w:cs="楷体_GB2312"/>
          <w:sz w:val="32"/>
          <w:szCs w:val="32"/>
        </w:rPr>
        <w:t>（二）存储设备。</w:t>
      </w:r>
      <w:r>
        <w:rPr>
          <w:rFonts w:hint="eastAsia" w:ascii="Times New Roman" w:hAnsi="Times New Roman" w:eastAsia="仿宋_GB2312" w:cs="仿宋_GB2312"/>
          <w:sz w:val="32"/>
          <w:szCs w:val="32"/>
        </w:rPr>
        <w:t xml:space="preserve">可选择性配备托盘、隔板货架、流利式货架、高位货架或自动化仓库等，货位之间、药品与地面、墙壁之间应有效隔离。托盘、货架标识条形码实行货位管理，一位一码，由仓储管理系统（WMS）统一控制、管理、调度。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仿宋_GB2312"/>
          <w:sz w:val="32"/>
          <w:szCs w:val="32"/>
        </w:rPr>
      </w:pPr>
      <w:r>
        <w:rPr>
          <w:rFonts w:hint="eastAsia" w:ascii="楷体_GB2312" w:hAnsi="楷体_GB2312" w:eastAsia="楷体_GB2312" w:cs="楷体_GB2312"/>
          <w:sz w:val="32"/>
          <w:szCs w:val="32"/>
        </w:rPr>
        <w:t>（三）库内输送设备。</w:t>
      </w:r>
      <w:r>
        <w:rPr>
          <w:rFonts w:hint="eastAsia" w:ascii="Times New Roman" w:hAnsi="Times New Roman" w:eastAsia="仿宋_GB2312" w:cs="仿宋_GB2312"/>
          <w:sz w:val="32"/>
          <w:szCs w:val="32"/>
        </w:rPr>
        <w:t>配备与物流规模相适应的设施设备</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如动力输送线、巷道堆垛机、自动导向搬运车（AGV）、穿梭车、电动叉车等</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 xml:space="preserve">，可以覆盖储存区、拣选作业区、出库复核区、集货配送区等区域，实现物流作业的精准连贯自动化操作，防控混淆、差错风险。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仿宋_GB2312"/>
          <w:sz w:val="32"/>
          <w:szCs w:val="32"/>
        </w:rPr>
      </w:pPr>
      <w:r>
        <w:rPr>
          <w:rFonts w:hint="eastAsia" w:ascii="楷体_GB2312" w:hAnsi="楷体_GB2312" w:eastAsia="楷体_GB2312" w:cs="楷体_GB2312"/>
          <w:sz w:val="32"/>
          <w:szCs w:val="32"/>
        </w:rPr>
        <w:t>（四）信息识别管理设备。</w:t>
      </w:r>
      <w:r>
        <w:rPr>
          <w:rFonts w:hint="eastAsia" w:ascii="Times New Roman" w:hAnsi="Times New Roman" w:eastAsia="仿宋_GB2312" w:cs="仿宋_GB2312"/>
          <w:sz w:val="32"/>
          <w:szCs w:val="32"/>
        </w:rPr>
        <w:t xml:space="preserve">采用包括但不限于条形码编制/打印扫描设备、射频技术（RF）、电子标签辅助拣货系统（DPS）、条码扫描等设备,实现药品入库验收、上架、移库、分拣、养护、出库复核等环节作业指令和相关信息显示等电子化操作。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仿宋_GB2312"/>
          <w:sz w:val="32"/>
          <w:szCs w:val="32"/>
        </w:rPr>
      </w:pPr>
      <w:r>
        <w:rPr>
          <w:rFonts w:hint="eastAsia" w:ascii="楷体_GB2312" w:hAnsi="楷体_GB2312" w:eastAsia="楷体_GB2312" w:cs="楷体_GB2312"/>
          <w:sz w:val="32"/>
          <w:szCs w:val="32"/>
        </w:rPr>
        <w:t>（五）温湿度调控设备。</w:t>
      </w:r>
      <w:r>
        <w:rPr>
          <w:rFonts w:hint="eastAsia" w:ascii="Times New Roman" w:hAnsi="Times New Roman" w:eastAsia="仿宋_GB2312" w:cs="仿宋_GB2312"/>
          <w:sz w:val="32"/>
          <w:szCs w:val="32"/>
        </w:rPr>
        <w:t xml:space="preserve">配备符合相关环境指标要求的空调系统等可以调控库房温湿度及进行库房室内外空气交换的设备。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仿宋_GB2312"/>
          <w:sz w:val="32"/>
          <w:szCs w:val="32"/>
        </w:rPr>
      </w:pPr>
      <w:r>
        <w:rPr>
          <w:rFonts w:hint="eastAsia" w:ascii="楷体_GB2312" w:hAnsi="楷体_GB2312" w:eastAsia="楷体_GB2312" w:cs="楷体_GB2312"/>
          <w:sz w:val="32"/>
          <w:szCs w:val="32"/>
        </w:rPr>
        <w:t>（六）视频监控设备。</w:t>
      </w:r>
      <w:r>
        <w:rPr>
          <w:rFonts w:hint="eastAsia" w:ascii="Times New Roman" w:hAnsi="Times New Roman" w:eastAsia="仿宋_GB2312" w:cs="仿宋_GB2312"/>
          <w:sz w:val="32"/>
          <w:szCs w:val="32"/>
        </w:rPr>
        <w:t xml:space="preserve">安装视频监控系统确保可对库区各项作业区进行全覆盖监控，视频监控可以实现实时备份，工作图像留存不少于30天，特殊管理药品工作图像留存不少于90天。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仿宋_GB2312"/>
          <w:sz w:val="32"/>
          <w:szCs w:val="32"/>
        </w:rPr>
      </w:pPr>
      <w:r>
        <w:rPr>
          <w:rFonts w:hint="eastAsia" w:ascii="楷体_GB2312" w:hAnsi="楷体_GB2312" w:eastAsia="楷体_GB2312" w:cs="楷体_GB2312"/>
          <w:sz w:val="32"/>
          <w:szCs w:val="32"/>
        </w:rPr>
        <w:t>（七）双回路供电系统或者备用发电机组。</w:t>
      </w:r>
      <w:r>
        <w:rPr>
          <w:rFonts w:hint="eastAsia" w:ascii="Times New Roman" w:hAnsi="Times New Roman" w:eastAsia="仿宋_GB2312" w:cs="仿宋_GB2312"/>
          <w:sz w:val="32"/>
          <w:szCs w:val="32"/>
        </w:rPr>
        <w:t xml:space="preserve">备用发电机组功率应当至少能够保障药品仓储作业区域的照明，确保冷库设备、温湿度监控设备、计算机控制室（区）及服务器数据中心可以正常运行。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仿宋_GB2312"/>
          <w:sz w:val="32"/>
          <w:szCs w:val="32"/>
        </w:rPr>
      </w:pPr>
      <w:r>
        <w:rPr>
          <w:rFonts w:hint="eastAsia" w:ascii="楷体_GB2312" w:hAnsi="楷体_GB2312" w:eastAsia="楷体_GB2312" w:cs="楷体_GB2312"/>
          <w:sz w:val="32"/>
          <w:szCs w:val="32"/>
        </w:rPr>
        <w:t>（八）法律法规等规定的其他设备。</w:t>
      </w:r>
      <w:r>
        <w:rPr>
          <w:rFonts w:hint="eastAsia" w:ascii="Times New Roman" w:hAnsi="Times New Roman"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b/>
          <w:bCs/>
          <w:sz w:val="32"/>
          <w:szCs w:val="32"/>
        </w:rPr>
        <w:t>第十二条</w:t>
      </w:r>
      <w:r>
        <w:rPr>
          <w:rFonts w:hint="eastAsia" w:ascii="Times New Roman" w:hAnsi="Times New Roman" w:eastAsia="仿宋_GB2312" w:cs="仿宋_GB2312"/>
          <w:b/>
          <w:bCs/>
          <w:sz w:val="32"/>
          <w:szCs w:val="32"/>
          <w:lang w:val="en-US" w:eastAsia="zh-CN"/>
        </w:rPr>
        <w:t xml:space="preserve">  </w:t>
      </w:r>
      <w:r>
        <w:rPr>
          <w:rFonts w:hint="eastAsia" w:ascii="Times New Roman" w:hAnsi="Times New Roman" w:eastAsia="仿宋_GB2312" w:cs="仿宋_GB2312"/>
          <w:sz w:val="32"/>
          <w:szCs w:val="32"/>
        </w:rPr>
        <w:t xml:space="preserve">企业应当选择与药品储存条件及配送规模相适应的封闭式药品运输工具，并符合以下要求：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（一）企业配备与经营规模相适应的符合法定要求的药品运输车辆</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lang w:val="en-US" w:eastAsia="zh-CN"/>
        </w:rPr>
        <w:t>或者委托满足药品质量安全运输条件的物流企业开展药品运输</w:t>
      </w:r>
      <w:r>
        <w:rPr>
          <w:rFonts w:hint="eastAsia" w:ascii="Times New Roman" w:hAnsi="Times New Roman"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（二）储存、配送冷链药品的，配备与配送药品质量管理要求及规模相适应并符合国家药品经营质量管理有关规定的专业冷藏车及车载冷藏设备（冷藏箱、保温箱等</w:t>
      </w:r>
      <w:r>
        <w:rPr>
          <w:rFonts w:hint="eastAsia" w:ascii="Times New Roman" w:hAnsi="Times New Roman" w:eastAsia="仿宋_GB2312" w:cs="仿宋_GB2312"/>
          <w:sz w:val="32"/>
          <w:szCs w:val="32"/>
          <w:lang w:val="en-US" w:eastAsia="zh-CN"/>
        </w:rPr>
        <w:t>至少两个</w:t>
      </w:r>
      <w:r>
        <w:rPr>
          <w:rFonts w:hint="eastAsia" w:ascii="Times New Roman" w:hAnsi="Times New Roman"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 xml:space="preserve">（三）冷藏车应配备独立制冷电源，安装卫星定位设备、车载温湿度自动监控设备及远程数据传输系统，可对车辆运输状态进行实时监测。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（四）采取委托运输的，委托方应当能够</w:t>
      </w:r>
      <w:r>
        <w:rPr>
          <w:rFonts w:hint="eastAsia" w:ascii="Times New Roman" w:hAnsi="Times New Roman" w:eastAsia="仿宋_GB2312" w:cs="仿宋_GB2312"/>
          <w:sz w:val="32"/>
          <w:szCs w:val="32"/>
          <w:lang w:val="en-US" w:eastAsia="zh-CN"/>
        </w:rPr>
        <w:t>通过</w:t>
      </w:r>
      <w:r>
        <w:rPr>
          <w:rFonts w:hint="eastAsia" w:ascii="Times New Roman" w:hAnsi="Times New Roman" w:eastAsia="仿宋_GB2312" w:cs="仿宋_GB2312"/>
          <w:sz w:val="32"/>
          <w:szCs w:val="32"/>
        </w:rPr>
        <w:t>运输管理系统（TMS）实时查看受托方</w:t>
      </w:r>
      <w:r>
        <w:rPr>
          <w:rFonts w:hint="eastAsia" w:ascii="Times New Roman" w:hAnsi="Times New Roman" w:eastAsia="仿宋_GB2312" w:cs="仿宋_GB2312"/>
          <w:sz w:val="32"/>
          <w:szCs w:val="32"/>
          <w:lang w:val="en-US" w:eastAsia="zh-CN"/>
        </w:rPr>
        <w:t>承运药品物流信息</w:t>
      </w:r>
      <w:r>
        <w:rPr>
          <w:rFonts w:hint="eastAsia" w:ascii="Times New Roman" w:hAnsi="Times New Roman" w:eastAsia="仿宋_GB2312" w:cs="仿宋_GB2312"/>
          <w:sz w:val="32"/>
          <w:szCs w:val="32"/>
        </w:rPr>
        <w:t xml:space="preserve">，可以实现对药品运输的全程跟踪、记录、调度。 </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b/>
          <w:bCs/>
          <w:sz w:val="32"/>
          <w:szCs w:val="32"/>
        </w:rPr>
        <w:t>第十三条</w:t>
      </w:r>
      <w:r>
        <w:rPr>
          <w:rFonts w:hint="eastAsia" w:ascii="Times New Roman" w:hAnsi="Times New Roman" w:eastAsia="仿宋_GB2312" w:cs="仿宋_GB2312"/>
          <w:b/>
          <w:bCs/>
          <w:sz w:val="32"/>
          <w:szCs w:val="32"/>
          <w:lang w:val="en-US" w:eastAsia="zh-CN"/>
        </w:rPr>
        <w:t xml:space="preserve">  </w:t>
      </w:r>
      <w:r>
        <w:rPr>
          <w:rFonts w:hint="eastAsia" w:ascii="Times New Roman" w:hAnsi="Times New Roman" w:eastAsia="仿宋_GB2312" w:cs="仿宋_GB2312"/>
          <w:sz w:val="32"/>
          <w:szCs w:val="32"/>
        </w:rPr>
        <w:t>企业应当对冷库、冷藏车、冷藏箱、保温箱以及温湿度自动监测系统等进行使用前、定期或停用时间超过规定时限的验证，定期对计量器具、温湿度监测设备等进行校准，并符合国家药品经营质量管理有关要求。验证方案、报告及数据应科学可靠，并按规定保留验证原始数据、验证现场实景照片或视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Times New Roman" w:hAnsi="Times New Roman" w:eastAsia="黑体" w:cs="黑体"/>
          <w:b w:val="0"/>
          <w:bCs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Times New Roman" w:hAnsi="Times New Roman" w:eastAsia="黑体" w:cs="黑体"/>
          <w:b w:val="0"/>
          <w:bCs w:val="0"/>
          <w:sz w:val="32"/>
          <w:szCs w:val="32"/>
        </w:rPr>
      </w:pPr>
      <w:r>
        <w:rPr>
          <w:rFonts w:hint="eastAsia" w:ascii="Times New Roman" w:hAnsi="Times New Roman" w:eastAsia="黑体" w:cs="黑体"/>
          <w:b w:val="0"/>
          <w:bCs w:val="0"/>
          <w:sz w:val="32"/>
          <w:szCs w:val="32"/>
        </w:rPr>
        <w:t>第四章</w:t>
      </w:r>
      <w:r>
        <w:rPr>
          <w:rFonts w:hint="eastAsia" w:ascii="Times New Roman" w:hAnsi="Times New Roman" w:eastAsia="黑体" w:cs="黑体"/>
          <w:b w:val="0"/>
          <w:bCs w:val="0"/>
          <w:sz w:val="32"/>
          <w:szCs w:val="32"/>
          <w:lang w:val="en-US" w:eastAsia="zh-CN"/>
        </w:rPr>
        <w:t xml:space="preserve">  </w:t>
      </w:r>
      <w:r>
        <w:rPr>
          <w:rFonts w:hint="eastAsia" w:ascii="Times New Roman" w:hAnsi="Times New Roman" w:eastAsia="黑体" w:cs="黑体"/>
          <w:b w:val="0"/>
          <w:bCs w:val="0"/>
          <w:sz w:val="32"/>
          <w:szCs w:val="32"/>
        </w:rPr>
        <w:t>信息管理系统</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b/>
          <w:bCs/>
          <w:sz w:val="32"/>
          <w:szCs w:val="32"/>
        </w:rPr>
        <w:t>第十四条</w:t>
      </w:r>
      <w:r>
        <w:rPr>
          <w:rFonts w:hint="eastAsia" w:ascii="Times New Roman" w:hAnsi="Times New Roman" w:eastAsia="仿宋_GB2312" w:cs="仿宋_GB2312"/>
          <w:b/>
          <w:bCs/>
          <w:sz w:val="32"/>
          <w:szCs w:val="32"/>
          <w:lang w:val="en-US" w:eastAsia="zh-CN"/>
        </w:rPr>
        <w:t xml:space="preserve">  </w:t>
      </w:r>
      <w:r>
        <w:rPr>
          <w:rFonts w:hint="eastAsia" w:ascii="Times New Roman" w:hAnsi="Times New Roman" w:eastAsia="仿宋_GB2312" w:cs="仿宋_GB2312"/>
          <w:sz w:val="32"/>
          <w:szCs w:val="32"/>
        </w:rPr>
        <w:t xml:space="preserve">企业应建立覆盖药品经营全过程的计算机信息管理系统，操作系统、数据库、网络安全与应用安全管理等软件应当与现代物流规模相适应，并应当满足物流运营、质量管理、追溯管理以及信息安全需要。 </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b/>
          <w:bCs/>
          <w:sz w:val="32"/>
          <w:szCs w:val="32"/>
        </w:rPr>
        <w:t>第十五条</w:t>
      </w:r>
      <w:r>
        <w:rPr>
          <w:rFonts w:hint="eastAsia" w:ascii="Times New Roman" w:hAnsi="Times New Roman" w:eastAsia="仿宋_GB2312" w:cs="仿宋_GB2312"/>
          <w:b/>
          <w:bCs/>
          <w:sz w:val="32"/>
          <w:szCs w:val="32"/>
          <w:lang w:val="en-US" w:eastAsia="zh-CN"/>
        </w:rPr>
        <w:t xml:space="preserve">  </w:t>
      </w:r>
      <w:r>
        <w:rPr>
          <w:rFonts w:hint="eastAsia" w:ascii="Times New Roman" w:hAnsi="Times New Roman" w:eastAsia="仿宋_GB2312" w:cs="仿宋_GB2312"/>
          <w:sz w:val="32"/>
          <w:szCs w:val="32"/>
        </w:rPr>
        <w:t>企业信息管理系统应当包括但不限于企业资源计划管理系统（ERP）、仓储管理系统(WMS)、设备控制系统（WCS）、运输管理系统（TMS）、温湿度自动监测系统、药品追溯系统等。企业应当通过信息化手段实现各系统之间的数据实时对接、交互、可追溯，并支持与</w:t>
      </w:r>
      <w:r>
        <w:rPr>
          <w:rFonts w:hint="eastAsia" w:ascii="Times New Roman" w:hAnsi="Times New Roman" w:eastAsia="仿宋_GB2312" w:cs="仿宋_GB2312"/>
          <w:sz w:val="32"/>
          <w:szCs w:val="32"/>
          <w:lang w:val="en-US" w:eastAsia="zh-CN"/>
        </w:rPr>
        <w:t>省药品监管部门</w:t>
      </w:r>
      <w:r>
        <w:rPr>
          <w:rFonts w:hint="eastAsia" w:ascii="Times New Roman" w:hAnsi="Times New Roman" w:eastAsia="仿宋_GB2312" w:cs="仿宋_GB2312"/>
          <w:sz w:val="32"/>
          <w:szCs w:val="32"/>
        </w:rPr>
        <w:t xml:space="preserve">对接药品购销存信息，具体要求如下：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（一）企业资源计划管理系统（ERP）应当覆盖药品经营活动管理全过程，数据录入、修改和保存的设备条件应当能够保证各类记录的原始、真实、准确、安全和可追溯。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二）仓储管理系统（WMS）应当与企业资源计划管理系统（ERP）、设备控制系统（WCS）、运输管理系统（TMS）数据进行实时、准确对接，实现药品入库、出库、储存、养护、退货、盘点、运输等仓储、物流全过程质量管理和控制，并具备全程货物查询和追踪功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（三）设备控制系统（WCS）应当实现仓储各作业环节自动、连续的物流传送，所属子系统、设施设备应当与仓储管理系统实时数据对接。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（四）运输管理系统（TMS）应当具备对药品运输全过程进行跟踪、记录、调度的功能。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仿宋_GB2312"/>
          <w:spacing w:val="-6"/>
          <w:sz w:val="32"/>
          <w:szCs w:val="32"/>
        </w:rPr>
      </w:pPr>
      <w:r>
        <w:rPr>
          <w:rFonts w:hint="eastAsia" w:ascii="Times New Roman" w:hAnsi="Times New Roman" w:eastAsia="仿宋_GB2312" w:cs="仿宋_GB2312"/>
          <w:sz w:val="32"/>
          <w:szCs w:val="32"/>
        </w:rPr>
        <w:t>（五）温湿度自动监测系统应当对仓库温湿度及冷藏、冷冻</w:t>
      </w:r>
      <w:r>
        <w:rPr>
          <w:rFonts w:hint="eastAsia" w:ascii="Times New Roman" w:hAnsi="Times New Roman" w:eastAsia="仿宋_GB2312" w:cs="仿宋_GB2312"/>
          <w:spacing w:val="-6"/>
          <w:sz w:val="32"/>
          <w:szCs w:val="32"/>
        </w:rPr>
        <w:t>药品运输温度开展实时监测及记录</w:t>
      </w:r>
      <w:r>
        <w:rPr>
          <w:rFonts w:hint="eastAsia" w:ascii="Times New Roman" w:hAnsi="Times New Roman" w:eastAsia="仿宋_GB2312" w:cs="仿宋_GB2312"/>
          <w:spacing w:val="-6"/>
          <w:sz w:val="32"/>
          <w:szCs w:val="32"/>
          <w:lang w:eastAsia="zh-CN"/>
        </w:rPr>
        <w:t>，</w:t>
      </w:r>
      <w:r>
        <w:rPr>
          <w:rFonts w:hint="eastAsia" w:ascii="Times New Roman" w:hAnsi="Times New Roman" w:eastAsia="仿宋_GB2312" w:cs="仿宋_GB2312"/>
          <w:spacing w:val="-6"/>
          <w:sz w:val="32"/>
          <w:szCs w:val="32"/>
          <w:lang w:val="en-US" w:eastAsia="zh-CN"/>
        </w:rPr>
        <w:t>且具备温湿度异常报警功能</w:t>
      </w:r>
      <w:r>
        <w:rPr>
          <w:rFonts w:hint="eastAsia" w:ascii="Times New Roman" w:hAnsi="Times New Roman" w:eastAsia="仿宋_GB2312" w:cs="仿宋_GB2312"/>
          <w:spacing w:val="-6"/>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b/>
          <w:bCs/>
          <w:sz w:val="32"/>
          <w:szCs w:val="32"/>
        </w:rPr>
        <w:t>第十六条</w:t>
      </w:r>
      <w:r>
        <w:rPr>
          <w:rFonts w:hint="eastAsia" w:ascii="Times New Roman" w:hAnsi="Times New Roman" w:eastAsia="仿宋_GB2312" w:cs="仿宋_GB2312"/>
          <w:b/>
          <w:bCs/>
          <w:sz w:val="32"/>
          <w:szCs w:val="32"/>
          <w:lang w:val="en-US" w:eastAsia="zh-CN"/>
        </w:rPr>
        <w:t xml:space="preserve">  </w:t>
      </w:r>
      <w:r>
        <w:rPr>
          <w:rFonts w:hint="eastAsia" w:ascii="Times New Roman" w:hAnsi="Times New Roman" w:eastAsia="仿宋_GB2312" w:cs="仿宋_GB2312"/>
          <w:sz w:val="32"/>
          <w:szCs w:val="32"/>
        </w:rPr>
        <w:t xml:space="preserve">药品现代物流系统投入使用前，企业应当对信息管理系统以及仓储物流设备与企业药品现代物流应用的相适应性开展试运行，确保数据安全、准确、可靠和完整。若停用时间超过 6 个月及以上时，再次投入使用前须重新试运行。 </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b/>
          <w:bCs/>
          <w:sz w:val="32"/>
          <w:szCs w:val="32"/>
        </w:rPr>
        <w:t>第十七条</w:t>
      </w:r>
      <w:r>
        <w:rPr>
          <w:rFonts w:hint="eastAsia" w:ascii="Times New Roman" w:hAnsi="Times New Roman" w:eastAsia="仿宋_GB2312" w:cs="仿宋_GB2312"/>
          <w:b/>
          <w:bCs/>
          <w:sz w:val="32"/>
          <w:szCs w:val="32"/>
          <w:lang w:val="en-US" w:eastAsia="zh-CN"/>
        </w:rPr>
        <w:t xml:space="preserve">  </w:t>
      </w:r>
      <w:r>
        <w:rPr>
          <w:rFonts w:hint="eastAsia" w:ascii="Times New Roman" w:hAnsi="Times New Roman" w:eastAsia="仿宋_GB2312" w:cs="仿宋_GB2312"/>
          <w:sz w:val="32"/>
          <w:szCs w:val="32"/>
        </w:rPr>
        <w:t xml:space="preserve">企业应当配置与药品现代化物流规模相适应的计算机硬件系统和网络环境，确保系统正常运行以及数据的完整性、真实性和安全性。药品现代物流活动的数据管理应符合《药品记录与数据管理要求（试行）》（国家药监局公告2020年第74号）要求，数据按日备份并采用安全、可靠的方式（异地服务器、多机热备或云储存等备份方式）开展存储和管理。数据记录应当至少保存5年，且不少于药品有效期满后1年，疫苗等特殊管理的药品按照国家相关规定执行。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Times New Roman" w:hAnsi="Times New Roman" w:eastAsia="黑体" w:cs="黑体"/>
          <w:b w:val="0"/>
          <w:bCs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Times New Roman" w:hAnsi="Times New Roman" w:eastAsia="黑体" w:cs="黑体"/>
          <w:b w:val="0"/>
          <w:bCs w:val="0"/>
          <w:sz w:val="32"/>
          <w:szCs w:val="32"/>
        </w:rPr>
      </w:pPr>
      <w:r>
        <w:rPr>
          <w:rFonts w:hint="eastAsia" w:ascii="Times New Roman" w:hAnsi="Times New Roman" w:eastAsia="黑体" w:cs="黑体"/>
          <w:b w:val="0"/>
          <w:bCs w:val="0"/>
          <w:sz w:val="32"/>
          <w:szCs w:val="32"/>
        </w:rPr>
        <w:t>第五章</w:t>
      </w:r>
      <w:r>
        <w:rPr>
          <w:rFonts w:hint="eastAsia" w:ascii="Times New Roman" w:hAnsi="Times New Roman" w:eastAsia="黑体" w:cs="黑体"/>
          <w:b w:val="0"/>
          <w:bCs w:val="0"/>
          <w:sz w:val="32"/>
          <w:szCs w:val="32"/>
          <w:lang w:val="en-US" w:eastAsia="zh-CN"/>
        </w:rPr>
        <w:t xml:space="preserve">  </w:t>
      </w:r>
      <w:r>
        <w:rPr>
          <w:rFonts w:hint="eastAsia" w:ascii="Times New Roman" w:hAnsi="Times New Roman" w:eastAsia="黑体" w:cs="黑体"/>
          <w:b w:val="0"/>
          <w:bCs w:val="0"/>
          <w:sz w:val="32"/>
          <w:szCs w:val="32"/>
        </w:rPr>
        <w:t>质量管理体系</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b/>
          <w:bCs/>
          <w:sz w:val="32"/>
          <w:szCs w:val="32"/>
        </w:rPr>
        <w:t>第十八条</w:t>
      </w:r>
      <w:r>
        <w:rPr>
          <w:rFonts w:hint="eastAsia" w:ascii="Times New Roman" w:hAnsi="Times New Roman" w:eastAsia="仿宋_GB2312" w:cs="仿宋_GB2312"/>
          <w:b/>
          <w:bCs/>
          <w:sz w:val="32"/>
          <w:szCs w:val="32"/>
          <w:lang w:val="en-US" w:eastAsia="zh-CN"/>
        </w:rPr>
        <w:t xml:space="preserve">  </w:t>
      </w:r>
      <w:r>
        <w:rPr>
          <w:rFonts w:hint="eastAsia" w:ascii="Times New Roman" w:hAnsi="Times New Roman" w:eastAsia="仿宋_GB2312" w:cs="仿宋_GB2312"/>
          <w:sz w:val="32"/>
          <w:szCs w:val="32"/>
        </w:rPr>
        <w:t xml:space="preserve">企业应当按照有关法律法规及国家药品经营质量管理有关规定，建立健全药品现代物流质量管理体系，设立与药品现代物流相适应的组织机构和岗位，制定制度文件、岗位职责和操作规程，配备从事药品经营和质量管理的人员，保证药品经营全过程持续符合法定要求。 </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b/>
          <w:bCs/>
          <w:sz w:val="32"/>
          <w:szCs w:val="32"/>
        </w:rPr>
        <w:t>第十九条</w:t>
      </w:r>
      <w:r>
        <w:rPr>
          <w:rFonts w:hint="eastAsia" w:ascii="Times New Roman" w:hAnsi="Times New Roman" w:eastAsia="仿宋_GB2312" w:cs="仿宋_GB2312"/>
          <w:b/>
          <w:bCs/>
          <w:sz w:val="32"/>
          <w:szCs w:val="32"/>
          <w:lang w:val="en-US" w:eastAsia="zh-CN"/>
        </w:rPr>
        <w:t xml:space="preserve">  </w:t>
      </w:r>
      <w:r>
        <w:rPr>
          <w:rFonts w:hint="eastAsia" w:ascii="Times New Roman" w:hAnsi="Times New Roman" w:eastAsia="仿宋_GB2312" w:cs="仿宋_GB2312"/>
          <w:sz w:val="32"/>
          <w:szCs w:val="32"/>
        </w:rPr>
        <w:t xml:space="preserve">企业制定的质量管理体系文件除符合国家药品经营质量管理有关规定外，还应当包括以下内容：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 xml:space="preserve">（一）物流管理；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 xml:space="preserve">（二）数据管理；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 xml:space="preserve">（三）委托运输质量评审管理；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 xml:space="preserve">（四）网络安全保障管理；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 xml:space="preserve">（五）仓储运输突发事件应急预案；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lang w:val="en-US" w:eastAsia="zh-CN"/>
        </w:rPr>
        <w:t>六</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lang w:val="en-US" w:eastAsia="zh-CN"/>
        </w:rPr>
        <w:t>药品网络销售管理（开展网络销售的企业）；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w:t>
      </w:r>
      <w:r>
        <w:rPr>
          <w:rFonts w:hint="eastAsia" w:ascii="Times New Roman" w:hAnsi="Times New Roman" w:eastAsia="仿宋_GB2312" w:cs="仿宋_GB2312"/>
          <w:sz w:val="32"/>
          <w:szCs w:val="32"/>
          <w:lang w:val="en-US" w:eastAsia="zh-CN"/>
        </w:rPr>
        <w:t>七</w:t>
      </w:r>
      <w:r>
        <w:rPr>
          <w:rFonts w:hint="eastAsia" w:ascii="Times New Roman" w:hAnsi="Times New Roman" w:eastAsia="仿宋_GB2312" w:cs="仿宋_GB2312"/>
          <w:sz w:val="32"/>
          <w:szCs w:val="32"/>
        </w:rPr>
        <w:t xml:space="preserve">）其他应当规定的内容。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Times New Roman" w:hAnsi="Times New Roman" w:eastAsia="黑体" w:cs="黑体"/>
          <w:b w:val="0"/>
          <w:bCs w:val="0"/>
          <w:sz w:val="32"/>
          <w:szCs w:val="32"/>
        </w:rPr>
      </w:pPr>
      <w:r>
        <w:rPr>
          <w:rFonts w:hint="eastAsia" w:ascii="Times New Roman" w:hAnsi="Times New Roman" w:eastAsia="黑体" w:cs="黑体"/>
          <w:b w:val="0"/>
          <w:bCs w:val="0"/>
          <w:sz w:val="32"/>
          <w:szCs w:val="32"/>
        </w:rPr>
        <w:t>第六章</w:t>
      </w:r>
      <w:r>
        <w:rPr>
          <w:rFonts w:hint="eastAsia" w:ascii="Times New Roman" w:hAnsi="Times New Roman" w:eastAsia="黑体" w:cs="黑体"/>
          <w:b w:val="0"/>
          <w:bCs w:val="0"/>
          <w:sz w:val="32"/>
          <w:szCs w:val="32"/>
          <w:lang w:val="en-US" w:eastAsia="zh-CN"/>
        </w:rPr>
        <w:t xml:space="preserve">  </w:t>
      </w:r>
      <w:r>
        <w:rPr>
          <w:rFonts w:hint="eastAsia" w:ascii="Times New Roman" w:hAnsi="Times New Roman" w:eastAsia="黑体" w:cs="黑体"/>
          <w:b w:val="0"/>
          <w:bCs w:val="0"/>
          <w:sz w:val="32"/>
          <w:szCs w:val="32"/>
        </w:rPr>
        <w:t>第三方物流企业</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b/>
          <w:bCs/>
          <w:sz w:val="32"/>
          <w:szCs w:val="32"/>
        </w:rPr>
        <w:t>第二十条</w:t>
      </w:r>
      <w:r>
        <w:rPr>
          <w:rFonts w:hint="eastAsia" w:ascii="Times New Roman" w:hAnsi="Times New Roman" w:eastAsia="仿宋_GB2312" w:cs="仿宋_GB2312"/>
          <w:b/>
          <w:bCs/>
          <w:sz w:val="32"/>
          <w:szCs w:val="32"/>
          <w:lang w:val="en-US" w:eastAsia="zh-CN"/>
        </w:rPr>
        <w:t xml:space="preserve">  </w:t>
      </w:r>
      <w:r>
        <w:rPr>
          <w:rFonts w:hint="eastAsia" w:ascii="Times New Roman" w:hAnsi="Times New Roman" w:eastAsia="仿宋_GB2312" w:cs="仿宋_GB2312"/>
          <w:sz w:val="32"/>
          <w:szCs w:val="32"/>
        </w:rPr>
        <w:t>第三方物流企业是指接受药品上市许可持有人、药品经营企业以及法律法规允许的其他药品储运委托方委托储存、运输药品的企业。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第三方</w:t>
      </w:r>
      <w:r>
        <w:rPr>
          <w:rFonts w:hint="eastAsia" w:ascii="Times New Roman" w:hAnsi="Times New Roman" w:eastAsia="仿宋_GB2312" w:cs="仿宋_GB2312"/>
          <w:spacing w:val="-6"/>
          <w:sz w:val="32"/>
          <w:szCs w:val="32"/>
        </w:rPr>
        <w:t>物流企业应当符合药品现代物流企业的设施设备、质量管理、储存运输、信息管理系统及相关人员要求</w:t>
      </w:r>
      <w:r>
        <w:rPr>
          <w:rFonts w:hint="eastAsia" w:ascii="Times New Roman" w:hAnsi="Times New Roman" w:eastAsia="仿宋_GB2312" w:cs="仿宋_GB2312"/>
          <w:spacing w:val="-6"/>
          <w:sz w:val="32"/>
          <w:szCs w:val="32"/>
          <w:lang w:eastAsia="zh-CN"/>
        </w:rPr>
        <w:t>，</w:t>
      </w:r>
      <w:r>
        <w:rPr>
          <w:rFonts w:hint="eastAsia" w:ascii="Times New Roman" w:hAnsi="Times New Roman" w:eastAsia="仿宋_GB2312" w:cs="仿宋_GB2312"/>
          <w:sz w:val="32"/>
          <w:szCs w:val="32"/>
        </w:rPr>
        <w:t>在满足国家药品经营质量管理有关</w:t>
      </w:r>
      <w:r>
        <w:rPr>
          <w:rFonts w:hint="eastAsia" w:ascii="Times New Roman" w:hAnsi="Times New Roman" w:eastAsia="仿宋_GB2312" w:cs="仿宋_GB2312"/>
          <w:sz w:val="32"/>
          <w:szCs w:val="32"/>
          <w:lang w:val="en-US" w:eastAsia="zh-CN"/>
        </w:rPr>
        <w:t>要求</w:t>
      </w:r>
      <w:r>
        <w:rPr>
          <w:rFonts w:hint="eastAsia" w:ascii="Times New Roman" w:hAnsi="Times New Roman" w:eastAsia="仿宋_GB2312" w:cs="仿宋_GB2312"/>
          <w:sz w:val="32"/>
          <w:szCs w:val="32"/>
        </w:rPr>
        <w:t>的基础上，开展药品现代化储存、运输活动</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按照委托协议履行义务，承担相应的法律责任。</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b/>
          <w:bCs/>
          <w:sz w:val="32"/>
          <w:szCs w:val="32"/>
        </w:rPr>
        <w:t>第二十一条</w:t>
      </w:r>
      <w:r>
        <w:rPr>
          <w:rFonts w:hint="eastAsia" w:ascii="Times New Roman" w:hAnsi="Times New Roman" w:eastAsia="仿宋_GB2312" w:cs="仿宋_GB2312"/>
          <w:b/>
          <w:bCs/>
          <w:sz w:val="32"/>
          <w:szCs w:val="32"/>
          <w:lang w:val="en-US" w:eastAsia="zh-CN"/>
        </w:rPr>
        <w:t xml:space="preserve">  </w:t>
      </w:r>
      <w:r>
        <w:rPr>
          <w:rFonts w:hint="eastAsia" w:ascii="Times New Roman" w:hAnsi="Times New Roman" w:eastAsia="仿宋_GB2312" w:cs="仿宋_GB2312"/>
          <w:sz w:val="32"/>
          <w:szCs w:val="32"/>
        </w:rPr>
        <w:t>第三方物流企业应至少</w:t>
      </w:r>
      <w:r>
        <w:rPr>
          <w:rFonts w:hint="eastAsia" w:ascii="Times New Roman" w:hAnsi="Times New Roman" w:eastAsia="仿宋_GB2312" w:cs="仿宋_GB2312"/>
          <w:sz w:val="32"/>
          <w:szCs w:val="32"/>
          <w:lang w:val="en-US" w:eastAsia="zh-CN"/>
        </w:rPr>
        <w:t>分别</w:t>
      </w:r>
      <w:r>
        <w:rPr>
          <w:rFonts w:hint="eastAsia" w:ascii="Times New Roman" w:hAnsi="Times New Roman" w:eastAsia="仿宋_GB2312" w:cs="仿宋_GB2312"/>
          <w:sz w:val="32"/>
          <w:szCs w:val="32"/>
        </w:rPr>
        <w:t xml:space="preserve">配备物流管理人员及计算机管理人员各2名，人员资质应当符合本《指导意见》第七条的要求。 </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b/>
          <w:bCs/>
          <w:sz w:val="32"/>
          <w:szCs w:val="32"/>
        </w:rPr>
        <w:t>第二十二条</w:t>
      </w:r>
      <w:r>
        <w:rPr>
          <w:rFonts w:hint="eastAsia" w:ascii="Times New Roman" w:hAnsi="Times New Roman" w:eastAsia="仿宋_GB2312" w:cs="仿宋_GB2312"/>
          <w:b/>
          <w:bCs/>
          <w:sz w:val="32"/>
          <w:szCs w:val="32"/>
          <w:lang w:val="en-US" w:eastAsia="zh-CN"/>
        </w:rPr>
        <w:t xml:space="preserve">  </w:t>
      </w:r>
      <w:r>
        <w:rPr>
          <w:rFonts w:hint="eastAsia" w:ascii="Times New Roman" w:hAnsi="Times New Roman" w:eastAsia="仿宋_GB2312" w:cs="仿宋_GB2312"/>
          <w:sz w:val="32"/>
          <w:szCs w:val="32"/>
        </w:rPr>
        <w:t>第三方物流企业应当具备与药品物流规模相适应的储存条件，仓库药品储存作业区整体建筑面积应不少于20000平方米或总容积不少于90000立方米，其中阴凉库（含阴凉常温混库）应占仓储面积50%以上，整件储存区应当设有自动化仓库或者高位货架，容积原则上不得少于25000立方米，托盘货位不少于10000个；零货拣选货架（不限于搁板货架、流利货架等形式）不少于3层，货位不少于10000个，货位间应当有效隔离。对于有特殊储存温度要求的药品，还应当配备与相关品种储存要求和规模相适应的仓库及设施。</w:t>
      </w:r>
      <w:r>
        <w:rPr>
          <w:rFonts w:hint="eastAsia" w:ascii="Times New Roman" w:hAnsi="Times New Roman" w:eastAsia="仿宋_GB2312" w:cs="仿宋_GB2312"/>
          <w:sz w:val="32"/>
          <w:szCs w:val="32"/>
          <w:lang w:val="en-US" w:eastAsia="zh-CN"/>
        </w:rPr>
        <w:t>储存、运输</w:t>
      </w:r>
      <w:r>
        <w:rPr>
          <w:rFonts w:hint="eastAsia" w:ascii="Times New Roman" w:hAnsi="Times New Roman" w:eastAsia="仿宋_GB2312" w:cs="仿宋_GB2312"/>
          <w:sz w:val="32"/>
          <w:szCs w:val="32"/>
        </w:rPr>
        <w:t>冷链药品的，</w:t>
      </w:r>
      <w:r>
        <w:rPr>
          <w:rFonts w:hint="eastAsia" w:ascii="Times New Roman" w:hAnsi="Times New Roman" w:eastAsia="仿宋_GB2312" w:cs="仿宋_GB2312"/>
          <w:sz w:val="32"/>
          <w:szCs w:val="32"/>
          <w:lang w:val="en-US" w:eastAsia="zh-CN"/>
        </w:rPr>
        <w:t>企业</w:t>
      </w:r>
      <w:r>
        <w:rPr>
          <w:rFonts w:hint="eastAsia" w:ascii="Times New Roman" w:hAnsi="Times New Roman" w:eastAsia="仿宋_GB2312" w:cs="仿宋_GB2312"/>
          <w:sz w:val="32"/>
          <w:szCs w:val="32"/>
        </w:rPr>
        <w:t>应当至少配备2个独立冷库，总容积不少于</w:t>
      </w:r>
      <w:r>
        <w:rPr>
          <w:rFonts w:hint="eastAsia" w:ascii="Times New Roman" w:hAnsi="Times New Roman" w:eastAsia="仿宋_GB2312" w:cs="仿宋_GB2312"/>
          <w:sz w:val="32"/>
          <w:szCs w:val="32"/>
          <w:lang w:val="en-US" w:eastAsia="zh-CN"/>
        </w:rPr>
        <w:t>6</w:t>
      </w:r>
      <w:r>
        <w:rPr>
          <w:rFonts w:hint="eastAsia" w:ascii="Times New Roman" w:hAnsi="Times New Roman" w:eastAsia="仿宋_GB2312" w:cs="仿宋_GB2312"/>
          <w:sz w:val="32"/>
          <w:szCs w:val="32"/>
        </w:rPr>
        <w:t>00立方米</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受托开展疫苗储存配送业务的</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企业应设置不少于</w:t>
      </w:r>
      <w:r>
        <w:rPr>
          <w:rFonts w:hint="eastAsia" w:ascii="Times New Roman" w:hAnsi="Times New Roman" w:eastAsia="仿宋_GB2312" w:cs="仿宋_GB2312"/>
          <w:sz w:val="32"/>
          <w:szCs w:val="32"/>
          <w:lang w:val="en-US" w:eastAsia="zh-CN"/>
        </w:rPr>
        <w:t>2</w:t>
      </w:r>
      <w:r>
        <w:rPr>
          <w:rFonts w:hint="eastAsia" w:ascii="Times New Roman" w:hAnsi="Times New Roman" w:eastAsia="仿宋_GB2312" w:cs="仿宋_GB2312"/>
          <w:sz w:val="32"/>
          <w:szCs w:val="32"/>
        </w:rPr>
        <w:t>个以上独立</w:t>
      </w:r>
      <w:r>
        <w:rPr>
          <w:rFonts w:hint="eastAsia" w:ascii="Times New Roman" w:hAnsi="Times New Roman" w:eastAsia="仿宋_GB2312" w:cs="仿宋_GB2312"/>
          <w:sz w:val="32"/>
          <w:szCs w:val="32"/>
          <w:lang w:eastAsia="zh-CN"/>
        </w:rPr>
        <w:t>的</w:t>
      </w:r>
      <w:r>
        <w:rPr>
          <w:rFonts w:hint="eastAsia" w:ascii="Times New Roman" w:hAnsi="Times New Roman" w:eastAsia="仿宋_GB2312" w:cs="仿宋_GB2312"/>
          <w:sz w:val="32"/>
          <w:szCs w:val="32"/>
          <w:lang w:val="en-US" w:eastAsia="zh-CN"/>
        </w:rPr>
        <w:t>疫苗专用</w:t>
      </w:r>
      <w:r>
        <w:rPr>
          <w:rFonts w:hint="eastAsia" w:ascii="Times New Roman" w:hAnsi="Times New Roman" w:eastAsia="仿宋_GB2312" w:cs="仿宋_GB2312"/>
          <w:sz w:val="32"/>
          <w:szCs w:val="32"/>
        </w:rPr>
        <w:t>冷库，冷库总容积</w:t>
      </w:r>
      <w:r>
        <w:rPr>
          <w:rFonts w:hint="eastAsia" w:ascii="Times New Roman" w:hAnsi="Times New Roman" w:eastAsia="仿宋_GB2312" w:cs="仿宋_GB2312"/>
          <w:sz w:val="32"/>
          <w:szCs w:val="32"/>
          <w:lang w:val="en-US" w:eastAsia="zh-CN"/>
        </w:rPr>
        <w:t>10</w:t>
      </w:r>
      <w:r>
        <w:rPr>
          <w:rFonts w:hint="eastAsia" w:ascii="Times New Roman" w:hAnsi="Times New Roman" w:eastAsia="仿宋_GB2312" w:cs="仿宋_GB2312"/>
          <w:sz w:val="32"/>
          <w:szCs w:val="32"/>
        </w:rPr>
        <w:t>00立方米以上。</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b/>
          <w:bCs/>
          <w:sz w:val="32"/>
          <w:szCs w:val="32"/>
        </w:rPr>
        <w:t>第二十三条</w:t>
      </w:r>
      <w:r>
        <w:rPr>
          <w:rFonts w:hint="eastAsia" w:ascii="Times New Roman" w:hAnsi="Times New Roman" w:eastAsia="仿宋_GB2312" w:cs="仿宋_GB2312"/>
          <w:b/>
          <w:bCs/>
          <w:sz w:val="32"/>
          <w:szCs w:val="32"/>
          <w:lang w:val="en-US" w:eastAsia="zh-CN"/>
        </w:rPr>
        <w:t xml:space="preserve">  </w:t>
      </w:r>
      <w:r>
        <w:rPr>
          <w:rFonts w:hint="eastAsia" w:ascii="Times New Roman" w:hAnsi="Times New Roman" w:eastAsia="仿宋_GB2312" w:cs="仿宋_GB2312"/>
          <w:sz w:val="32"/>
          <w:szCs w:val="32"/>
        </w:rPr>
        <w:t>第三方物流企业应当配备与药品物流规模相适应的符合法定要求的封闭式运输车辆和（或）具有自动调控及屏显功能的冷藏车及车载冷藏、冷冻设备（冷藏箱、保温箱等），并具有运输车辆</w:t>
      </w:r>
      <w:bookmarkStart w:id="0" w:name="_GoBack"/>
      <w:bookmarkEnd w:id="0"/>
      <w:r>
        <w:rPr>
          <w:rFonts w:hint="eastAsia" w:ascii="Times New Roman" w:hAnsi="Times New Roman" w:eastAsia="仿宋_GB2312" w:cs="仿宋_GB2312"/>
          <w:sz w:val="32"/>
          <w:szCs w:val="32"/>
        </w:rPr>
        <w:t>卫星定位跟踪系统与运输调度信息系统（TMS），运输调度信息系统（TMS）可与WMS系统对接。封闭式运输车辆不少于10辆</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lang w:val="en-US" w:eastAsia="zh-CN"/>
        </w:rPr>
        <w:t>不含冷藏车</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 xml:space="preserve">，冷藏车不少于3辆，冷藏箱或者保温箱不少于50个。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 xml:space="preserve">接受委托运输的第三方物流企业确需再次委托运输的，应当征得委托方同意，并按照国家药品经营质量管理有关规定对再次委托运输的受托方进行审核，保证运输全程质量跟踪和有效追溯。接受再委托运输的受托方不得再次委托运输。 </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b/>
          <w:bCs/>
          <w:sz w:val="32"/>
          <w:szCs w:val="32"/>
        </w:rPr>
        <w:t>第二十四条</w:t>
      </w:r>
      <w:r>
        <w:rPr>
          <w:rFonts w:hint="eastAsia" w:ascii="Times New Roman" w:hAnsi="Times New Roman" w:eastAsia="仿宋_GB2312" w:cs="仿宋_GB2312"/>
          <w:b/>
          <w:bCs/>
          <w:sz w:val="32"/>
          <w:szCs w:val="32"/>
          <w:lang w:val="en-US" w:eastAsia="zh-CN"/>
        </w:rPr>
        <w:t xml:space="preserve">  </w:t>
      </w:r>
      <w:r>
        <w:rPr>
          <w:rFonts w:hint="eastAsia" w:ascii="Times New Roman" w:hAnsi="Times New Roman" w:eastAsia="仿宋_GB2312" w:cs="仿宋_GB2312"/>
          <w:sz w:val="32"/>
          <w:szCs w:val="32"/>
        </w:rPr>
        <w:t>第三方物流企业应当配置信息交换平台，支持物流作业数据与委托方之间的信息交换，可对委托方药品收货、验收、入库、储存、养护、出库、运输、退回</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lang w:val="en-US" w:eastAsia="zh-CN"/>
        </w:rPr>
        <w:t>不合格品处理</w:t>
      </w:r>
      <w:r>
        <w:rPr>
          <w:rFonts w:hint="eastAsia" w:ascii="Times New Roman" w:hAnsi="Times New Roman" w:eastAsia="仿宋_GB2312" w:cs="仿宋_GB2312"/>
          <w:sz w:val="32"/>
          <w:szCs w:val="32"/>
        </w:rPr>
        <w:t>等全过程作业指令进行有效传达（受托方的储存运输行为须遵从委托方的信息系统作业指令）；支持不同货主的货品管理，具备组织架构定义、人员管理、权限定义、人员授权等系统管理功能，支持货主、药品、客户、供应商的主档资料和基础信息的系统管理和维护；支持管理和控制所有物流中心的库存，记录物流中心所有药品的库存账目情况，向货主提供对应的库存账目查询、对</w:t>
      </w:r>
      <w:r>
        <w:rPr>
          <w:rFonts w:hint="eastAsia" w:ascii="Times New Roman" w:hAnsi="Times New Roman" w:eastAsia="仿宋_GB2312" w:cs="仿宋_GB2312"/>
          <w:sz w:val="32"/>
          <w:szCs w:val="32"/>
          <w:lang w:val="en-US" w:eastAsia="zh-CN"/>
        </w:rPr>
        <w:t>账</w:t>
      </w:r>
      <w:r>
        <w:rPr>
          <w:rFonts w:hint="eastAsia" w:ascii="Times New Roman" w:hAnsi="Times New Roman" w:eastAsia="仿宋_GB2312" w:cs="仿宋_GB2312"/>
          <w:sz w:val="32"/>
          <w:szCs w:val="32"/>
        </w:rPr>
        <w:t xml:space="preserve">、统计、日结、比对等服务，并可以向货主提供投诉管理、订单执行情况跟踪、已下订单及各种数据的查询；承担多家企业委托业务的，应保证各委托企业的经营数据和记录真实、完整、准确、互不干扰和混淆，确保药品信息的有效追溯。实现药品委托储存运输全过程的质量管理，并具备全程货物查询、追溯功能，能够完整、及时、准确地收集、记录、查询相关数据，确保不同委托方的数据记录互不干扰和混淆，实现药品信息的有效追踪。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 xml:space="preserve">第三方物流企业应当在新增受托业务以及年度质量内审时，开展信息交换平台（EDI）功能运行验证，以确保信息交换平台能够始终畅顺联通委托方与受托方的相关信息。 </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b/>
          <w:bCs/>
          <w:sz w:val="32"/>
          <w:szCs w:val="32"/>
        </w:rPr>
        <w:t>第二十五条</w:t>
      </w:r>
      <w:r>
        <w:rPr>
          <w:rFonts w:hint="eastAsia" w:ascii="Times New Roman" w:hAnsi="Times New Roman" w:eastAsia="仿宋_GB2312" w:cs="仿宋_GB2312"/>
          <w:b/>
          <w:bCs/>
          <w:sz w:val="32"/>
          <w:szCs w:val="32"/>
          <w:lang w:val="en-US" w:eastAsia="zh-CN"/>
        </w:rPr>
        <w:t xml:space="preserve">  </w:t>
      </w:r>
      <w:r>
        <w:rPr>
          <w:rFonts w:hint="eastAsia" w:ascii="Times New Roman" w:hAnsi="Times New Roman" w:eastAsia="仿宋_GB2312" w:cs="仿宋_GB2312"/>
          <w:sz w:val="32"/>
          <w:szCs w:val="32"/>
        </w:rPr>
        <w:t xml:space="preserve">第三方物流企业应当制定药品委托储存运输管理制度、与委托方进行指令和信息交换以及对委托方审核的管理制度。其中质量管理记录应当包括委托方的收货指令、委托方的发货指令记录等。 </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b/>
          <w:bCs/>
          <w:sz w:val="32"/>
          <w:szCs w:val="32"/>
        </w:rPr>
        <w:t>第二十六条</w:t>
      </w:r>
      <w:r>
        <w:rPr>
          <w:rFonts w:hint="eastAsia" w:ascii="Times New Roman" w:hAnsi="Times New Roman" w:eastAsia="仿宋_GB2312" w:cs="仿宋_GB2312"/>
          <w:b/>
          <w:bCs/>
          <w:sz w:val="32"/>
          <w:szCs w:val="32"/>
          <w:lang w:val="en-US" w:eastAsia="zh-CN"/>
        </w:rPr>
        <w:t xml:space="preserve">  </w:t>
      </w:r>
      <w:r>
        <w:rPr>
          <w:rFonts w:hint="eastAsia" w:ascii="Times New Roman" w:hAnsi="Times New Roman" w:eastAsia="仿宋_GB2312" w:cs="仿宋_GB2312"/>
          <w:sz w:val="32"/>
          <w:szCs w:val="32"/>
        </w:rPr>
        <w:t>第三方物流企业应当与委托方签订包含药品委托储存(运输)范围、地址、委托期限、记录和数据管理、票据管理、质量责任和违约责任、重大问题报告、评估要求</w:t>
      </w:r>
      <w:r>
        <w:rPr>
          <w:rFonts w:hint="eastAsia" w:ascii="Times New Roman" w:hAnsi="Times New Roman" w:eastAsia="仿宋_GB2312" w:cs="仿宋_GB2312"/>
          <w:spacing w:val="-6"/>
          <w:sz w:val="32"/>
          <w:szCs w:val="32"/>
        </w:rPr>
        <w:t>等内容的合同及质量保证协议，明确质量责任及双方的权利义务。</w:t>
      </w:r>
      <w:r>
        <w:rPr>
          <w:rFonts w:hint="eastAsia" w:ascii="Times New Roman" w:hAnsi="Times New Roman"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Times New Roman" w:hAnsi="Times New Roman" w:eastAsia="黑体" w:cs="黑体"/>
          <w:b w:val="0"/>
          <w:bCs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Times New Roman" w:hAnsi="Times New Roman" w:eastAsia="黑体" w:cs="黑体"/>
          <w:b w:val="0"/>
          <w:bCs w:val="0"/>
          <w:sz w:val="32"/>
          <w:szCs w:val="32"/>
        </w:rPr>
      </w:pPr>
      <w:r>
        <w:rPr>
          <w:rFonts w:hint="eastAsia" w:ascii="Times New Roman" w:hAnsi="Times New Roman" w:eastAsia="黑体" w:cs="黑体"/>
          <w:b w:val="0"/>
          <w:bCs w:val="0"/>
          <w:sz w:val="32"/>
          <w:szCs w:val="32"/>
        </w:rPr>
        <w:t>第七章</w:t>
      </w:r>
      <w:r>
        <w:rPr>
          <w:rFonts w:hint="eastAsia" w:ascii="Times New Roman" w:hAnsi="Times New Roman" w:eastAsia="黑体" w:cs="黑体"/>
          <w:b w:val="0"/>
          <w:bCs w:val="0"/>
          <w:sz w:val="32"/>
          <w:szCs w:val="32"/>
          <w:lang w:val="en-US" w:eastAsia="zh-CN"/>
        </w:rPr>
        <w:t xml:space="preserve">  </w:t>
      </w:r>
      <w:r>
        <w:rPr>
          <w:rFonts w:hint="eastAsia" w:ascii="Times New Roman" w:hAnsi="Times New Roman" w:eastAsia="黑体" w:cs="黑体"/>
          <w:b w:val="0"/>
          <w:bCs w:val="0"/>
          <w:sz w:val="32"/>
          <w:szCs w:val="32"/>
        </w:rPr>
        <w:t xml:space="preserve">药品运输管理要求 </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b/>
          <w:bCs/>
          <w:sz w:val="32"/>
          <w:szCs w:val="32"/>
        </w:rPr>
        <w:t>第二十七条</w:t>
      </w:r>
      <w:r>
        <w:rPr>
          <w:rFonts w:hint="eastAsia" w:ascii="Times New Roman" w:hAnsi="Times New Roman" w:eastAsia="仿宋_GB2312" w:cs="仿宋_GB2312"/>
          <w:b/>
          <w:bCs/>
          <w:sz w:val="32"/>
          <w:szCs w:val="32"/>
          <w:lang w:val="en-US" w:eastAsia="zh-CN"/>
        </w:rPr>
        <w:t xml:space="preserve">  </w:t>
      </w:r>
      <w:r>
        <w:rPr>
          <w:rFonts w:hint="eastAsia" w:ascii="Times New Roman" w:hAnsi="Times New Roman" w:eastAsia="仿宋_GB2312" w:cs="仿宋_GB2312"/>
          <w:sz w:val="32"/>
          <w:szCs w:val="32"/>
        </w:rPr>
        <w:t>企业和第三方物流企业应对运输车辆进行路由信息管理，对配送的业务订单与运输车辆进行关联，</w:t>
      </w:r>
      <w:r>
        <w:rPr>
          <w:rFonts w:hint="eastAsia" w:ascii="Times New Roman" w:hAnsi="Times New Roman" w:eastAsia="仿宋_GB2312" w:cs="仿宋_GB2312"/>
          <w:sz w:val="32"/>
          <w:szCs w:val="32"/>
          <w:lang w:val="en-US" w:eastAsia="zh-CN"/>
        </w:rPr>
        <w:t>信息系统实时传输对接</w:t>
      </w:r>
      <w:r>
        <w:rPr>
          <w:rFonts w:hint="eastAsia" w:ascii="Times New Roman" w:hAnsi="Times New Roman" w:eastAsia="仿宋_GB2312" w:cs="仿宋_GB2312"/>
          <w:sz w:val="32"/>
          <w:szCs w:val="32"/>
        </w:rPr>
        <w:t>业务订单配送</w:t>
      </w:r>
      <w:r>
        <w:rPr>
          <w:rFonts w:hint="eastAsia" w:ascii="Times New Roman" w:hAnsi="Times New Roman" w:eastAsia="仿宋_GB2312" w:cs="仿宋_GB2312"/>
          <w:sz w:val="32"/>
          <w:szCs w:val="32"/>
          <w:lang w:val="en-US" w:eastAsia="zh-CN"/>
        </w:rPr>
        <w:t>进度信息，实现对</w:t>
      </w:r>
      <w:r>
        <w:rPr>
          <w:rFonts w:hint="eastAsia" w:ascii="Times New Roman" w:hAnsi="Times New Roman" w:eastAsia="仿宋_GB2312" w:cs="仿宋_GB2312"/>
          <w:sz w:val="32"/>
          <w:szCs w:val="32"/>
        </w:rPr>
        <w:t>配送药品在途轨迹实时查询</w:t>
      </w:r>
      <w:r>
        <w:rPr>
          <w:rFonts w:hint="eastAsia" w:ascii="Times New Roman" w:hAnsi="Times New Roman" w:eastAsia="仿宋_GB2312" w:cs="仿宋_GB2312"/>
          <w:sz w:val="32"/>
          <w:szCs w:val="32"/>
          <w:lang w:val="en-US" w:eastAsia="zh-CN"/>
        </w:rPr>
        <w:t>。</w:t>
      </w:r>
      <w:r>
        <w:rPr>
          <w:rFonts w:hint="eastAsia" w:ascii="Times New Roman" w:hAnsi="Times New Roman" w:eastAsia="仿宋_GB2312" w:cs="仿宋_GB2312"/>
          <w:sz w:val="32"/>
          <w:szCs w:val="32"/>
        </w:rPr>
        <w:t xml:space="preserve">已装车的药品应当及时发运并尽快送达。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 xml:space="preserve">企业药品委托运输的，应当监督承运方的运输时效性，防止因在途时间过长影响药品质量。委托运输记录至少应包括发货时间、发货地址、收货单位、收货地址、货单号、药品件数、运输方式、委托经办人、承运单位等内容，采用车辆运输的，还应当载明车牌号及驾驶人员信息。 </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b/>
          <w:bCs/>
          <w:sz w:val="32"/>
          <w:szCs w:val="32"/>
        </w:rPr>
        <w:t>第二十八条</w:t>
      </w:r>
      <w:r>
        <w:rPr>
          <w:rFonts w:hint="eastAsia" w:ascii="Times New Roman" w:hAnsi="Times New Roman" w:eastAsia="仿宋_GB2312" w:cs="仿宋_GB2312"/>
          <w:b/>
          <w:bCs/>
          <w:sz w:val="32"/>
          <w:szCs w:val="32"/>
          <w:lang w:val="en-US" w:eastAsia="zh-CN"/>
        </w:rPr>
        <w:t xml:space="preserve">  </w:t>
      </w:r>
      <w:r>
        <w:rPr>
          <w:rFonts w:hint="eastAsia" w:ascii="Times New Roman" w:hAnsi="Times New Roman" w:eastAsia="仿宋_GB2312" w:cs="仿宋_GB2312"/>
          <w:sz w:val="32"/>
          <w:szCs w:val="32"/>
        </w:rPr>
        <w:t>第三方物流</w:t>
      </w:r>
      <w:r>
        <w:rPr>
          <w:rFonts w:hint="eastAsia" w:ascii="Times New Roman" w:hAnsi="Times New Roman" w:eastAsia="仿宋_GB2312" w:cs="仿宋_GB2312"/>
          <w:sz w:val="32"/>
          <w:szCs w:val="32"/>
          <w:lang w:val="en-US" w:eastAsia="zh-CN"/>
        </w:rPr>
        <w:t>企业</w:t>
      </w:r>
      <w:r>
        <w:rPr>
          <w:rFonts w:hint="eastAsia" w:ascii="Times New Roman" w:hAnsi="Times New Roman" w:eastAsia="仿宋_GB2312" w:cs="仿宋_GB2312"/>
          <w:sz w:val="32"/>
          <w:szCs w:val="32"/>
        </w:rPr>
        <w:t>应当对</w:t>
      </w:r>
      <w:r>
        <w:rPr>
          <w:rFonts w:hint="eastAsia" w:ascii="Times New Roman" w:hAnsi="Times New Roman" w:eastAsia="仿宋_GB2312" w:cs="仿宋_GB2312"/>
          <w:sz w:val="32"/>
          <w:szCs w:val="32"/>
          <w:lang w:val="en-US" w:eastAsia="zh-CN"/>
        </w:rPr>
        <w:t>本企业</w:t>
      </w:r>
      <w:r>
        <w:rPr>
          <w:rFonts w:hint="eastAsia" w:ascii="Times New Roman" w:hAnsi="Times New Roman" w:eastAsia="仿宋_GB2312" w:cs="仿宋_GB2312"/>
          <w:sz w:val="32"/>
          <w:szCs w:val="32"/>
        </w:rPr>
        <w:t>承接委托运输的能力进行评估，</w:t>
      </w:r>
      <w:r>
        <w:rPr>
          <w:rFonts w:hint="eastAsia" w:ascii="Times New Roman" w:hAnsi="Times New Roman" w:eastAsia="仿宋_GB2312" w:cs="仿宋_GB2312"/>
          <w:sz w:val="32"/>
          <w:szCs w:val="32"/>
          <w:lang w:val="en-US" w:eastAsia="zh-CN"/>
        </w:rPr>
        <w:t>根据本企业实际运输能力承接委托运输业务。</w:t>
      </w:r>
      <w:r>
        <w:rPr>
          <w:rFonts w:hint="eastAsia" w:ascii="Times New Roman" w:hAnsi="Times New Roman"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b/>
          <w:bCs/>
          <w:sz w:val="32"/>
          <w:szCs w:val="32"/>
        </w:rPr>
        <w:t>第二十九条</w:t>
      </w:r>
      <w:r>
        <w:rPr>
          <w:rFonts w:hint="eastAsia" w:ascii="Times New Roman" w:hAnsi="Times New Roman" w:eastAsia="仿宋_GB2312" w:cs="仿宋_GB2312"/>
          <w:b/>
          <w:bCs/>
          <w:sz w:val="32"/>
          <w:szCs w:val="32"/>
          <w:lang w:val="en-US" w:eastAsia="zh-CN"/>
        </w:rPr>
        <w:t xml:space="preserve">  </w:t>
      </w:r>
      <w:r>
        <w:rPr>
          <w:rFonts w:hint="eastAsia" w:ascii="Times New Roman" w:hAnsi="Times New Roman" w:eastAsia="仿宋_GB2312" w:cs="仿宋_GB2312"/>
          <w:sz w:val="32"/>
          <w:szCs w:val="32"/>
        </w:rPr>
        <w:t>第三方物流企业开展药品委托运输活动，应当制定应急预案，确保药品运输过程特别是突发应急状态下持续符</w:t>
      </w:r>
      <w:r>
        <w:rPr>
          <w:rFonts w:hint="eastAsia" w:ascii="Times New Roman" w:hAnsi="Times New Roman" w:eastAsia="仿宋_GB2312" w:cs="仿宋_GB2312"/>
          <w:sz w:val="32"/>
          <w:szCs w:val="32"/>
          <w:lang w:val="en-US" w:eastAsia="zh-CN"/>
        </w:rPr>
        <w:t>合</w:t>
      </w:r>
      <w:r>
        <w:rPr>
          <w:rFonts w:hint="eastAsia" w:ascii="Times New Roman" w:hAnsi="Times New Roman" w:eastAsia="仿宋_GB2312" w:cs="仿宋_GB2312"/>
          <w:sz w:val="32"/>
          <w:szCs w:val="32"/>
        </w:rPr>
        <w:t xml:space="preserve">国家药品经营质量管理有关规定要求。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Times New Roman" w:hAnsi="Times New Roman" w:eastAsia="黑体" w:cs="黑体"/>
          <w:b w:val="0"/>
          <w:bCs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黑体" w:cs="黑体"/>
          <w:b w:val="0"/>
          <w:bCs w:val="0"/>
          <w:sz w:val="32"/>
          <w:szCs w:val="32"/>
        </w:rPr>
      </w:pPr>
      <w:r>
        <w:rPr>
          <w:rFonts w:hint="eastAsia" w:ascii="Times New Roman" w:hAnsi="Times New Roman" w:eastAsia="黑体" w:cs="黑体"/>
          <w:b w:val="0"/>
          <w:bCs w:val="0"/>
          <w:sz w:val="32"/>
          <w:szCs w:val="32"/>
        </w:rPr>
        <w:t>第</w:t>
      </w:r>
      <w:r>
        <w:rPr>
          <w:rFonts w:hint="eastAsia" w:ascii="Times New Roman" w:hAnsi="Times New Roman" w:eastAsia="黑体" w:cs="黑体"/>
          <w:b w:val="0"/>
          <w:bCs w:val="0"/>
          <w:sz w:val="32"/>
          <w:szCs w:val="32"/>
          <w:lang w:eastAsia="zh-CN"/>
        </w:rPr>
        <w:t>八</w:t>
      </w:r>
      <w:r>
        <w:rPr>
          <w:rFonts w:hint="eastAsia" w:ascii="Times New Roman" w:hAnsi="Times New Roman" w:eastAsia="黑体" w:cs="黑体"/>
          <w:b w:val="0"/>
          <w:bCs w:val="0"/>
          <w:sz w:val="32"/>
          <w:szCs w:val="32"/>
        </w:rPr>
        <w:t>章</w:t>
      </w:r>
      <w:r>
        <w:rPr>
          <w:rFonts w:hint="eastAsia" w:ascii="Times New Roman" w:hAnsi="Times New Roman" w:eastAsia="黑体" w:cs="黑体"/>
          <w:b w:val="0"/>
          <w:bCs w:val="0"/>
          <w:sz w:val="32"/>
          <w:szCs w:val="32"/>
          <w:lang w:val="en-US" w:eastAsia="zh-CN"/>
        </w:rPr>
        <w:t xml:space="preserve">  </w:t>
      </w:r>
      <w:r>
        <w:rPr>
          <w:rFonts w:hint="eastAsia" w:ascii="Times New Roman" w:hAnsi="Times New Roman" w:eastAsia="黑体" w:cs="黑体"/>
          <w:b w:val="0"/>
          <w:bCs w:val="0"/>
          <w:sz w:val="32"/>
          <w:szCs w:val="32"/>
        </w:rPr>
        <w:t>附</w:t>
      </w:r>
      <w:r>
        <w:rPr>
          <w:rFonts w:hint="eastAsia" w:ascii="Times New Roman" w:hAnsi="Times New Roman" w:eastAsia="黑体" w:cs="黑体"/>
          <w:b w:val="0"/>
          <w:bCs w:val="0"/>
          <w:sz w:val="32"/>
          <w:szCs w:val="32"/>
          <w:lang w:val="en-US" w:eastAsia="zh-CN"/>
        </w:rPr>
        <w:t xml:space="preserve">  </w:t>
      </w:r>
      <w:r>
        <w:rPr>
          <w:rFonts w:hint="eastAsia" w:ascii="Times New Roman" w:hAnsi="Times New Roman" w:eastAsia="黑体" w:cs="黑体"/>
          <w:b w:val="0"/>
          <w:bCs w:val="0"/>
          <w:sz w:val="32"/>
          <w:szCs w:val="32"/>
        </w:rPr>
        <w:t>则</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b/>
          <w:bCs/>
          <w:sz w:val="32"/>
          <w:szCs w:val="32"/>
        </w:rPr>
        <w:t>第三十条</w:t>
      </w:r>
      <w:r>
        <w:rPr>
          <w:rFonts w:hint="eastAsia" w:ascii="Times New Roman" w:hAnsi="Times New Roman" w:eastAsia="仿宋_GB2312" w:cs="仿宋_GB2312"/>
          <w:b/>
          <w:bCs/>
          <w:sz w:val="32"/>
          <w:szCs w:val="32"/>
          <w:lang w:val="en-US" w:eastAsia="zh-CN"/>
        </w:rPr>
        <w:t xml:space="preserve">  </w:t>
      </w:r>
      <w:r>
        <w:rPr>
          <w:rFonts w:hint="eastAsia" w:ascii="Times New Roman" w:hAnsi="Times New Roman" w:eastAsia="仿宋_GB2312" w:cs="仿宋_GB2312"/>
          <w:sz w:val="32"/>
          <w:szCs w:val="32"/>
        </w:rPr>
        <w:t xml:space="preserve">自动化仓库是指借助自动化、智能化机械设施（如高层货架、巷道堆垛机、载货机器人、自动分拣系统、单件拣选智能机器手、出入库自动输送系统以及周边设施设备等），使用计算机管理控制系统实现自动存储和取出物料的自动化储存场地。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自营仓库是指由企业自营自管（包含自有产权及租赁形式）,为本企业经营药品提供储存服务的仓库。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 xml:space="preserve">多机热备是指使用两台及以上服务器，互相备份，共同执行同一服务。当一台服务器出现故障时，可以由其他服务器承担服务任务，从而在不需要人工干预的情况下，自动保证系统能持续提供服务。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 xml:space="preserve">停用时间超过规定时限时验证是指温湿度自动监测系统、冷库停用时间超过6个月及以上，冷藏车、冷藏箱、保温箱（含蓄冷剂）停用时间超过 3 个月及以上时，再次投入使用前需要进行验证。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高位仓库是指配备高位货架不少于3层，货架层高不低于1.5米（最顶层距离仓库屋顶及空调管道、消防管道最低点不得低于1.5米）的仓库。</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pPr>
      <w:r>
        <w:rPr>
          <w:rFonts w:hint="eastAsia" w:ascii="Times New Roman" w:hAnsi="Times New Roman" w:eastAsia="仿宋_GB2312" w:cs="仿宋_GB2312"/>
          <w:b/>
          <w:bCs/>
          <w:sz w:val="32"/>
          <w:szCs w:val="32"/>
        </w:rPr>
        <w:t>第三十一条</w:t>
      </w:r>
      <w:r>
        <w:rPr>
          <w:rFonts w:hint="eastAsia" w:ascii="Times New Roman" w:hAnsi="Times New Roman" w:eastAsia="仿宋_GB2312" w:cs="仿宋_GB2312"/>
          <w:b/>
          <w:bCs/>
          <w:sz w:val="32"/>
          <w:szCs w:val="32"/>
          <w:lang w:val="en-US" w:eastAsia="zh-CN"/>
        </w:rPr>
        <w:t xml:space="preserve">  </w:t>
      </w:r>
      <w:r>
        <w:rPr>
          <w:rFonts w:hint="eastAsia" w:ascii="Times New Roman" w:hAnsi="Times New Roman" w:eastAsia="仿宋_GB2312" w:cs="仿宋_GB2312"/>
          <w:sz w:val="32"/>
          <w:szCs w:val="32"/>
          <w:lang w:val="en-US" w:eastAsia="zh-CN"/>
        </w:rPr>
        <w:t>本指导意见自</w:t>
      </w:r>
      <w:r>
        <w:rPr>
          <w:rFonts w:hint="eastAsia" w:eastAsia="仿宋_GB2312" w:cs="仿宋_GB2312"/>
          <w:sz w:val="32"/>
          <w:szCs w:val="32"/>
          <w:lang w:val="en-US" w:eastAsia="zh-CN"/>
        </w:rPr>
        <w:t>2024年12月10日起</w:t>
      </w:r>
      <w:r>
        <w:rPr>
          <w:rFonts w:hint="eastAsia" w:ascii="Times New Roman" w:hAnsi="Times New Roman" w:eastAsia="仿宋_GB2312" w:cs="仿宋_GB2312"/>
          <w:sz w:val="32"/>
          <w:szCs w:val="32"/>
          <w:lang w:val="en-US" w:eastAsia="zh-CN"/>
        </w:rPr>
        <w:t>施行</w:t>
      </w:r>
      <w:r>
        <w:rPr>
          <w:rFonts w:hint="eastAsia" w:eastAsia="仿宋_GB2312" w:cs="仿宋_GB2312"/>
          <w:sz w:val="32"/>
          <w:szCs w:val="32"/>
          <w:lang w:val="en-US" w:eastAsia="zh-CN"/>
        </w:rPr>
        <w:t>，有效期5年</w:t>
      </w:r>
      <w:r>
        <w:rPr>
          <w:rFonts w:hint="eastAsia" w:ascii="Times New Roman" w:hAnsi="Times New Roman" w:eastAsia="仿宋_GB2312" w:cs="仿宋_GB2312"/>
          <w:sz w:val="32"/>
          <w:szCs w:val="32"/>
          <w:lang w:val="en-US" w:eastAsia="zh-CN"/>
        </w:rPr>
        <w:t>。</w:t>
      </w:r>
    </w:p>
    <w:sectPr>
      <w:footerReference r:id="rId3" w:type="default"/>
      <w:pgSz w:w="11906" w:h="16838"/>
      <w:pgMar w:top="1984" w:right="1474" w:bottom="1474" w:left="1474"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47BA4C1-83AE-4E99-AF2F-34D52CB934D9}"/>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embedRegular r:id="rId2" w:fontKey="{2879C8F9-84C8-42AF-94D9-1034B715559D}"/>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 w:name="方正小标宋_GBK">
    <w:panose1 w:val="03000509000000000000"/>
    <w:charset w:val="86"/>
    <w:family w:val="auto"/>
    <w:pitch w:val="default"/>
    <w:sig w:usb0="00000001" w:usb1="080E0000" w:usb2="00000000" w:usb3="00000000" w:csb0="00040000" w:csb1="00000000"/>
    <w:embedRegular r:id="rId3" w:fontKey="{4BBF686C-2E65-4D4C-A0B2-DCB10911DE7B}"/>
  </w:font>
  <w:font w:name="仿宋_GB2312">
    <w:panose1 w:val="02010609030101010101"/>
    <w:charset w:val="86"/>
    <w:family w:val="auto"/>
    <w:pitch w:val="default"/>
    <w:sig w:usb0="00000001" w:usb1="080E0000" w:usb2="00000000" w:usb3="00000000" w:csb0="00040000" w:csb1="00000000"/>
    <w:embedRegular r:id="rId4" w:fontKey="{8373FF60-097F-4992-9366-B0046278FFEC}"/>
  </w:font>
  <w:font w:name="楷体_GB2312">
    <w:panose1 w:val="02010609030101010101"/>
    <w:charset w:val="86"/>
    <w:family w:val="auto"/>
    <w:pitch w:val="default"/>
    <w:sig w:usb0="00000001" w:usb1="080E0000" w:usb2="00000000" w:usb3="00000000" w:csb0="00040000" w:csb1="00000000"/>
    <w:embedRegular r:id="rId5" w:fontKey="{6EB8CCE9-FA62-426C-84F7-8FC336F0C665}"/>
  </w:font>
  <w:font w:name="Calibri Light">
    <w:panose1 w:val="020F0302020204030204"/>
    <w:charset w:val="00"/>
    <w:family w:val="auto"/>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方正粗黑宋简体">
    <w:panose1 w:val="02000000000000000000"/>
    <w:charset w:val="86"/>
    <w:family w:val="auto"/>
    <w:pitch w:val="default"/>
    <w:sig w:usb0="A00002BF" w:usb1="184F6CFA" w:usb2="00000012" w:usb3="00000000" w:csb0="00040001" w:csb1="00000000"/>
  </w:font>
  <w:font w:name="方正舒体">
    <w:panose1 w:val="02010601030101010101"/>
    <w:charset w:val="86"/>
    <w:family w:val="auto"/>
    <w:pitch w:val="default"/>
    <w:sig w:usb0="00000003"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隶书">
    <w:panose1 w:val="02010509060101010101"/>
    <w:charset w:val="86"/>
    <w:family w:val="auto"/>
    <w:pitch w:val="default"/>
    <w:sig w:usb0="00000001" w:usb1="080E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西文正文">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华文新魏">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幼圆">
    <w:panose1 w:val="02010509060101010101"/>
    <w:charset w:val="86"/>
    <w:family w:val="auto"/>
    <w:pitch w:val="default"/>
    <w:sig w:usb0="00000001" w:usb1="080E0000" w:usb2="00000000" w:usb3="00000000" w:csb0="00040000" w:csb1="00000000"/>
  </w:font>
  <w:font w:name="微软雅黑 Light">
    <w:panose1 w:val="020B0502040204020203"/>
    <w:charset w:val="86"/>
    <w:family w:val="auto"/>
    <w:pitch w:val="default"/>
    <w:sig w:usb0="80000287" w:usb1="2ACF0010" w:usb2="00000016" w:usb3="00000000" w:csb0="0004001F" w:csb1="00000000"/>
  </w:font>
  <w:font w:name="新宋体">
    <w:panose1 w:val="02010609030101010101"/>
    <w:charset w:val="86"/>
    <w:family w:val="auto"/>
    <w:pitch w:val="default"/>
    <w:sig w:usb0="00000283" w:usb1="288F0000" w:usb2="00000006" w:usb3="00000000" w:csb0="00040001" w:csb1="00000000"/>
  </w:font>
  <w:font w:name="方正兰亭超细黑简体">
    <w:panose1 w:val="02000000000000000000"/>
    <w:charset w:val="86"/>
    <w:family w:val="auto"/>
    <w:pitch w:val="default"/>
    <w:sig w:usb0="00000001" w:usb1="0800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书宋_GBK">
    <w:panose1 w:val="03000509000000000000"/>
    <w:charset w:val="86"/>
    <w:family w:val="auto"/>
    <w:pitch w:val="default"/>
    <w:sig w:usb0="00000001" w:usb1="080E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MicrosoftYaHei">
    <w:altName w:val="Segoe Print"/>
    <w:panose1 w:val="00000000000000000000"/>
    <w:charset w:val="00"/>
    <w:family w:val="auto"/>
    <w:pitch w:val="default"/>
    <w:sig w:usb0="00000000" w:usb1="00000000" w:usb2="00000000" w:usb3="00000000" w:csb0="00000000" w:csb1="00000000"/>
  </w:font>
  <w:font w:name="MicrosoftYaHei-Bold">
    <w:altName w:val="Segoe Print"/>
    <w:panose1 w:val="00000000000000000000"/>
    <w:charset w:val="00"/>
    <w:family w:val="auto"/>
    <w:pitch w:val="default"/>
    <w:sig w:usb0="00000000" w:usb1="00000000" w:usb2="00000000" w:usb3="00000000" w:csb0="00000000" w:csb1="00000000"/>
  </w:font>
  <w:font w:name="华文彩云">
    <w:panose1 w:val="02010800040101010101"/>
    <w:charset w:val="86"/>
    <w:family w:val="auto"/>
    <w:pitch w:val="default"/>
    <w:sig w:usb0="00000001" w:usb1="080F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Microsoft YaHei UI">
    <w:panose1 w:val="020B0503020204020204"/>
    <w:charset w:val="86"/>
    <w:family w:val="auto"/>
    <w:pitch w:val="default"/>
    <w:sig w:usb0="80000287" w:usb1="2ACF3C50" w:usb2="00000016" w:usb3="00000000" w:csb0="0004001F" w:csb1="00000000"/>
  </w:font>
  <w:font w:name="Microsoft YaHei UI Light">
    <w:panose1 w:val="020B0502040204020203"/>
    <w:charset w:val="86"/>
    <w:family w:val="auto"/>
    <w:pitch w:val="default"/>
    <w:sig w:usb0="80000287" w:usb1="2ACF0010" w:usb2="00000016" w:usb3="00000000" w:csb0="0004001F" w:csb1="00000000"/>
  </w:font>
  <w:font w:name="MingLiU_HKSCS-ExtB">
    <w:panose1 w:val="02020500000000000000"/>
    <w:charset w:val="88"/>
    <w:family w:val="auto"/>
    <w:pitch w:val="default"/>
    <w:sig w:usb0="8000002F" w:usb1="02000008" w:usb2="00000000" w:usb3="00000000" w:csb0="00100001" w:csb1="00000000"/>
  </w:font>
  <w:font w:name="MS PGothic">
    <w:panose1 w:val="020B0600070205080204"/>
    <w:charset w:val="80"/>
    <w:family w:val="auto"/>
    <w:pitch w:val="default"/>
    <w:sig w:usb0="E00002FF" w:usb1="6AC7FDFB" w:usb2="08000012" w:usb3="00000000" w:csb0="4002009F" w:csb1="DFD70000"/>
  </w:font>
  <w:font w:name="MS UI Gothic">
    <w:panose1 w:val="020B0600070205080204"/>
    <w:charset w:val="80"/>
    <w:family w:val="auto"/>
    <w:pitch w:val="default"/>
    <w:sig w:usb0="E00002FF" w:usb1="6AC7FDFB" w:usb2="08000012" w:usb3="00000000" w:csb0="4002009F" w:csb1="DFD70000"/>
  </w:font>
  <w:font w:name="Yu Gothic Light">
    <w:panose1 w:val="020B0300000000000000"/>
    <w:charset w:val="80"/>
    <w:family w:val="auto"/>
    <w:pitch w:val="default"/>
    <w:sig w:usb0="E00002FF" w:usb1="2AC7FDFF" w:usb2="00000016" w:usb3="00000000" w:csb0="2002009F" w:csb1="00000000"/>
  </w:font>
  <w:font w:name="Yu Gothic UI">
    <w:panose1 w:val="020B0500000000000000"/>
    <w:charset w:val="80"/>
    <w:family w:val="auto"/>
    <w:pitch w:val="default"/>
    <w:sig w:usb0="E00002FF" w:usb1="2AC7FDFF" w:usb2="00000016" w:usb3="00000000" w:csb0="2002009F" w:csb1="00000000"/>
  </w:font>
  <w:font w:name="Yu Gothic UI Light">
    <w:panose1 w:val="020B0300000000000000"/>
    <w:charset w:val="80"/>
    <w:family w:val="auto"/>
    <w:pitch w:val="default"/>
    <w:sig w:usb0="E00002FF" w:usb1="2AC7FDFF" w:usb2="00000016" w:usb3="00000000" w:csb0="2002009F" w:csb1="00000000"/>
  </w:font>
  <w:font w:name="Yu Gothic UI Semibold">
    <w:panose1 w:val="020B0700000000000000"/>
    <w:charset w:val="80"/>
    <w:family w:val="auto"/>
    <w:pitch w:val="default"/>
    <w:sig w:usb0="E00002FF" w:usb1="2AC7FDFF" w:usb2="00000016" w:usb3="00000000" w:csb0="2002009F" w:csb1="00000000"/>
  </w:font>
  <w:font w:name="Comic Sans MS">
    <w:panose1 w:val="030F0702030302020204"/>
    <w:charset w:val="00"/>
    <w:family w:val="auto"/>
    <w:pitch w:val="default"/>
    <w:sig w:usb0="00000287" w:usb1="00000013" w:usb2="00000000" w:usb3="00000000" w:csb0="2000009F" w:csb1="00000000"/>
  </w:font>
  <w:font w:name="Dubai">
    <w:panose1 w:val="020B0503030403030204"/>
    <w:charset w:val="00"/>
    <w:family w:val="auto"/>
    <w:pitch w:val="default"/>
    <w:sig w:usb0="80002067" w:usb1="80000000" w:usb2="00000008" w:usb3="00000000" w:csb0="20000041" w:csb1="00000000"/>
  </w:font>
  <w:font w:name="Dubai Light">
    <w:panose1 w:val="020B0303030403030204"/>
    <w:charset w:val="00"/>
    <w:family w:val="auto"/>
    <w:pitch w:val="default"/>
    <w:sig w:usb0="80002067" w:usb1="80000000" w:usb2="00000008" w:usb3="00000000" w:csb0="20000041" w:csb1="00000000"/>
  </w:font>
  <w:font w:name="Dubai Medium">
    <w:panose1 w:val="020B0603030403030204"/>
    <w:charset w:val="00"/>
    <w:family w:val="auto"/>
    <w:pitch w:val="default"/>
    <w:sig w:usb0="80002067" w:usb1="80000000" w:usb2="00000008" w:usb3="00000000" w:csb0="20000041" w:csb1="00000000"/>
  </w:font>
  <w:font w:name="Microsoft Sans Serif">
    <w:panose1 w:val="020B0604020202020204"/>
    <w:charset w:val="00"/>
    <w:family w:val="auto"/>
    <w:pitch w:val="default"/>
    <w:sig w:usb0="E5002EFF" w:usb1="C000605B" w:usb2="00000029" w:usb3="00000000" w:csb0="200101FF" w:csb1="20280000"/>
  </w:font>
  <w:font w:name="Microsoft Uighur">
    <w:panose1 w:val="02000000000000000000"/>
    <w:charset w:val="00"/>
    <w:family w:val="auto"/>
    <w:pitch w:val="default"/>
    <w:sig w:usb0="80002023" w:usb1="80000002" w:usb2="00000008" w:usb3="00000000" w:csb0="00000041" w:csb1="00000000"/>
  </w:font>
  <w:font w:name="MV Boli">
    <w:panose1 w:val="02000500030200090000"/>
    <w:charset w:val="00"/>
    <w:family w:val="auto"/>
    <w:pitch w:val="default"/>
    <w:sig w:usb0="00000003" w:usb1="00000000" w:usb2="00000100" w:usb3="00000000" w:csb0="00000001" w:csb1="00000000"/>
  </w:font>
  <w:font w:name="Myanmar Text">
    <w:panose1 w:val="020B0502040204020203"/>
    <w:charset w:val="00"/>
    <w:family w:val="auto"/>
    <w:pitch w:val="default"/>
    <w:sig w:usb0="80000003" w:usb1="00000000" w:usb2="00000400" w:usb3="00000000" w:csb0="00000001" w:csb1="00000000"/>
  </w:font>
  <w:font w:name="Tahoma">
    <w:panose1 w:val="020B0604030504040204"/>
    <w:charset w:val="00"/>
    <w:family w:val="auto"/>
    <w:pitch w:val="default"/>
    <w:sig w:usb0="E1002EFF" w:usb1="C000605B" w:usb2="00000029" w:usb3="00000000" w:csb0="200101FF" w:csb1="20280000"/>
  </w:font>
  <w:font w:name="Courier New">
    <w:panose1 w:val="02070309020205020404"/>
    <w:charset w:val="00"/>
    <w:family w:val="modern"/>
    <w:pitch w:val="default"/>
    <w:sig w:usb0="E0002EFF" w:usb1="C0007843" w:usb2="00000009" w:usb3="00000000" w:csb0="400001FF" w:csb1="FFFF0000"/>
  </w:font>
  <w:font w:name="Verdana">
    <w:panose1 w:val="020B0604030504040204"/>
    <w:charset w:val="00"/>
    <w:family w:val="swiss"/>
    <w:pitch w:val="default"/>
    <w:sig w:usb0="A00006FF" w:usb1="4000205B" w:usb2="00000010" w:usb3="00000000" w:csb0="2000019F" w:csb1="00000000"/>
  </w:font>
  <w:font w:name="Arial Unicode MS">
    <w:altName w:val="Arial"/>
    <w:panose1 w:val="020B0604020202020204"/>
    <w:charset w:val="00"/>
    <w:family w:val="swiss"/>
    <w:pitch w:val="default"/>
    <w:sig w:usb0="00000000" w:usb1="00000000" w:usb2="0000003F" w:usb3="00000000" w:csb0="003F01FF" w:csb1="00000000"/>
  </w:font>
  <w:font w:name="TimesNewRomanPSMT">
    <w:altName w:val="Times New Roman"/>
    <w:panose1 w:val="00000000000000000000"/>
    <w:charset w:val="00"/>
    <w:family w:val="roman"/>
    <w:pitch w:val="default"/>
    <w:sig w:usb0="00000000" w:usb1="00000000" w:usb2="00000000" w:usb3="00000000" w:csb0="00000001" w:csb1="00000000"/>
  </w:font>
  <w:font w:name="华文仿宋">
    <w:panose1 w:val="02010600040101010101"/>
    <w:charset w:val="86"/>
    <w:family w:val="auto"/>
    <w:pitch w:val="default"/>
    <w:sig w:usb0="00000287" w:usb1="080F0000" w:usb2="00000000" w:usb3="00000000" w:csb0="0004009F" w:csb1="DFD70000"/>
  </w:font>
  <w:font w:name="DejaVu Sans">
    <w:altName w:val="Segoe Print"/>
    <w:panose1 w:val="020B0603030804020204"/>
    <w:charset w:val="00"/>
    <w:family w:val="auto"/>
    <w:pitch w:val="default"/>
    <w:sig w:usb0="00000000" w:usb1="00000000" w:usb2="0A246029" w:usb3="0400200C" w:csb0="600001FF" w:csb1="DFFF0000"/>
  </w:font>
  <w:font w:name="Nimbus Roman No9 L">
    <w:altName w:val="Segoe Print"/>
    <w:panose1 w:val="00000000000000000000"/>
    <w:charset w:val="00"/>
    <w:family w:val="auto"/>
    <w:pitch w:val="default"/>
    <w:sig w:usb0="00000000" w:usb1="00000000" w:usb2="00000000" w:usb3="00000000" w:csb0="00000000" w:csb1="00000000"/>
  </w:font>
  <w:font w:name="Droid Sans">
    <w:altName w:val="Segoe Print"/>
    <w:panose1 w:val="020B0606030804020204"/>
    <w:charset w:val="00"/>
    <w:family w:val="auto"/>
    <w:pitch w:val="default"/>
    <w:sig w:usb0="00000000" w:usb1="00000000" w:usb2="00000028" w:usb3="00000000" w:csb0="2000019F" w:csb1="00000000"/>
  </w:font>
  <w:font w:name="汉仪中宋简">
    <w:altName w:val="宋体"/>
    <w:panose1 w:val="02010600000101010101"/>
    <w:charset w:val="86"/>
    <w:family w:val="auto"/>
    <w:pitch w:val="default"/>
    <w:sig w:usb0="00000000" w:usb1="00000000" w:usb2="00000002" w:usb3="00000000" w:csb0="00040000" w:csb1="00000000"/>
  </w:font>
  <w:font w:name="Arial Unicode MS">
    <w:altName w:val="宋体"/>
    <w:panose1 w:val="020B0604020202020204"/>
    <w:charset w:val="86"/>
    <w:family w:val="auto"/>
    <w:pitch w:val="default"/>
    <w:sig w:usb0="00000000" w:usb1="00000000" w:usb2="0000003F" w:usb3="00000000" w:csb0="603F01FF" w:csb1="FFFF0000"/>
  </w:font>
  <w:font w:name="Miriam Fixed">
    <w:altName w:val="Yu Gothic UI"/>
    <w:panose1 w:val="020B0509050101010101"/>
    <w:charset w:val="00"/>
    <w:family w:val="auto"/>
    <w:pitch w:val="default"/>
    <w:sig w:usb0="00000000" w:usb1="00000000" w:usb2="00000000" w:usb3="00000000" w:csb0="00000020" w:csb1="00200000"/>
  </w:font>
  <w:font w:name="Segoe Script">
    <w:panose1 w:val="030B0504020000000003"/>
    <w:charset w:val="00"/>
    <w:family w:val="auto"/>
    <w:pitch w:val="default"/>
    <w:sig w:usb0="0000028F" w:usb1="00000000" w:usb2="00000000" w:usb3="00000000" w:csb0="0000009F" w:csb1="00000000"/>
  </w:font>
  <w:font w:name="Wingdings">
    <w:panose1 w:val="05000000000000000000"/>
    <w:charset w:val="00"/>
    <w:family w:val="auto"/>
    <w:pitch w:val="default"/>
    <w:sig w:usb0="00000000" w:usb1="00000000" w:usb2="00000000" w:usb3="00000000" w:csb0="80000000" w:csb1="00000000"/>
  </w:font>
  <w:font w:name="Webdings">
    <w:panose1 w:val="05030102010509060703"/>
    <w:charset w:val="00"/>
    <w:family w:val="auto"/>
    <w:pitch w:val="default"/>
    <w:sig w:usb0="00000000" w:usb1="00000000" w:usb2="00000000" w:usb3="00000000" w:csb0="80000000" w:csb1="00000000"/>
  </w:font>
  <w:font w:name="Vrinda">
    <w:altName w:val="Segoe UI Symbol"/>
    <w:panose1 w:val="020B0502040204020203"/>
    <w:charset w:val="00"/>
    <w:family w:val="auto"/>
    <w:pitch w:val="default"/>
    <w:sig w:usb0="00000000" w:usb1="00000000" w:usb2="00000000" w:usb3="00000000" w:csb0="00000001" w:csb1="00000000"/>
  </w:font>
  <w:font w:name="Vijaya">
    <w:altName w:val="Segoe Print"/>
    <w:panose1 w:val="020B0604020202020204"/>
    <w:charset w:val="00"/>
    <w:family w:val="auto"/>
    <w:pitch w:val="default"/>
    <w:sig w:usb0="00000000" w:usb1="00000000" w:usb2="00000000" w:usb3="00000000" w:csb0="00000001" w:csb1="00000000"/>
  </w:font>
  <w:font w:name="Miriam">
    <w:altName w:val="Yu Gothic UI"/>
    <w:panose1 w:val="020B0502050101010101"/>
    <w:charset w:val="00"/>
    <w:family w:val="auto"/>
    <w:pitch w:val="default"/>
    <w:sig w:usb0="00000000" w:usb1="00000000" w:usb2="00000000" w:usb3="00000000" w:csb0="00000020" w:csb1="00200000"/>
  </w:font>
  <w:font w:name="Latha">
    <w:altName w:val="Segoe Print"/>
    <w:panose1 w:val="020B0604020202020204"/>
    <w:charset w:val="00"/>
    <w:family w:val="auto"/>
    <w:pitch w:val="default"/>
    <w:sig w:usb0="00000000" w:usb1="00000000" w:usb2="00000000" w:usb3="00000000" w:csb0="00000001" w:csb1="00000000"/>
  </w:font>
  <w:font w:name="Leelawadee">
    <w:panose1 w:val="020B0502040204020203"/>
    <w:charset w:val="00"/>
    <w:family w:val="auto"/>
    <w:pitch w:val="default"/>
    <w:sig w:usb0="01000001" w:usb1="00000000" w:usb2="00000000" w:usb3="00000000" w:csb0="20010001" w:csb1="00000000"/>
  </w:font>
  <w:font w:name="DaunPenh">
    <w:altName w:val="Microsoft Himalaya"/>
    <w:panose1 w:val="01010101010101010101"/>
    <w:charset w:val="00"/>
    <w:family w:val="auto"/>
    <w:pitch w:val="default"/>
    <w:sig w:usb0="00000000" w:usb1="00000000" w:usb2="00010000" w:usb3="00000000" w:csb0="00000001" w:csb1="00000000"/>
  </w:font>
  <w:font w:name="方正大标宋简体">
    <w:altName w:val="微软雅黑"/>
    <w:panose1 w:val="02010601030101010101"/>
    <w:charset w:val="86"/>
    <w:family w:val="auto"/>
    <w:pitch w:val="default"/>
    <w:sig w:usb0="00000000" w:usb1="00000000" w:usb2="00000000" w:usb3="00000000" w:csb0="00040000" w:csb1="00000000"/>
  </w:font>
  <w:font w:name="方正仿宋简体">
    <w:altName w:val="微软雅黑"/>
    <w:panose1 w:val="02010601030101010101"/>
    <w:charset w:val="86"/>
    <w:family w:val="auto"/>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方正准圆简体">
    <w:altName w:val="宋体"/>
    <w:panose1 w:val="02010601030101010101"/>
    <w:charset w:val="86"/>
    <w:family w:val="auto"/>
    <w:pitch w:val="default"/>
    <w:sig w:usb0="00000000" w:usb1="00000000" w:usb2="00000000" w:usb3="00000000" w:csb0="00040000" w:csb1="00000000"/>
  </w:font>
  <w:font w:name="Arial Rounded MT Bold">
    <w:altName w:val="Arial"/>
    <w:panose1 w:val="020F0704030504030204"/>
    <w:charset w:val="00"/>
    <w:family w:val="auto"/>
    <w:pitch w:val="default"/>
    <w:sig w:usb0="00000000" w:usb1="00000000" w:usb2="00000000" w:usb3="00000000" w:csb0="20000001" w:csb1="00000000"/>
  </w:font>
  <w:font w:name="方正超粗黑_GBK">
    <w:altName w:val="黑体"/>
    <w:panose1 w:val="03000509000000000000"/>
    <w:charset w:val="86"/>
    <w:family w:val="auto"/>
    <w:pitch w:val="default"/>
    <w:sig w:usb0="00000000" w:usb1="00000000" w:usb2="00000000" w:usb3="00000000" w:csb0="00040000" w:csb1="00000000"/>
  </w:font>
  <w:font w:name="方正隶书_GBK">
    <w:altName w:val="隶书"/>
    <w:panose1 w:val="03000509000000000000"/>
    <w:charset w:val="86"/>
    <w:family w:val="auto"/>
    <w:pitch w:val="default"/>
    <w:sig w:usb0="00000000" w:usb1="00000000" w:usb2="00000000" w:usb3="00000000" w:csb0="00040000" w:csb1="00000000"/>
  </w:font>
  <w:font w:name="方正魏碑_GBK">
    <w:altName w:val="宋体"/>
    <w:panose1 w:val="03000509000000000000"/>
    <w:charset w:val="86"/>
    <w:family w:val="auto"/>
    <w:pitch w:val="default"/>
    <w:sig w:usb0="00000000" w:usb1="00000000" w:usb2="00000000" w:usb3="00000000" w:csb0="00040000" w:csb1="00000000"/>
  </w:font>
  <w:font w:name="Adobe 仿宋 Std R">
    <w:altName w:val="仿宋"/>
    <w:panose1 w:val="02020400000000000000"/>
    <w:charset w:val="86"/>
    <w:family w:val="roman"/>
    <w:pitch w:val="default"/>
    <w:sig w:usb0="00000000" w:usb1="00000000" w:usb2="00000016" w:usb3="00000000" w:csb0="00060007" w:csb1="00000000"/>
  </w:font>
  <w:font w:name="方正楷体简体">
    <w:altName w:val="楷体_GB2312"/>
    <w:panose1 w:val="02010601030101010101"/>
    <w:charset w:val="86"/>
    <w:family w:val="auto"/>
    <w:pitch w:val="default"/>
    <w:sig w:usb0="00000000" w:usb1="00000000" w:usb2="00000000" w:usb3="00000000" w:csb0="00040000" w:csb1="00000000"/>
  </w:font>
  <w:font w:name="Gungsuh">
    <w:altName w:val="Malgun Gothic"/>
    <w:panose1 w:val="02030600000101010101"/>
    <w:charset w:val="81"/>
    <w:family w:val="roman"/>
    <w:pitch w:val="default"/>
    <w:sig w:usb0="00000000" w:usb1="00000000" w:usb2="00000030" w:usb3="00000000" w:csb0="4008009F" w:csb1="DFD70000"/>
  </w:font>
  <w:font w:name="ˎ̥">
    <w:altName w:val="Times New Roman"/>
    <w:panose1 w:val="00000000000000000000"/>
    <w:charset w:val="00"/>
    <w:family w:val="roman"/>
    <w:pitch w:val="default"/>
    <w:sig w:usb0="00000000" w:usb1="00000000" w:usb2="00000000" w:usb3="00000000" w:csb0="00040001" w:csb1="00000000"/>
  </w:font>
  <w:font w:name="Gulim">
    <w:altName w:val="Malgun Gothic"/>
    <w:panose1 w:val="020B0600000101010101"/>
    <w:charset w:val="81"/>
    <w:family w:val="auto"/>
    <w:pitch w:val="default"/>
    <w:sig w:usb0="00000000" w:usb1="00000000" w:usb2="00000030" w:usb3="00000000" w:csb0="4008009F" w:csb1="DFD70000"/>
  </w:font>
  <w:font w:name="DotumChe">
    <w:altName w:val="Malgun Gothic"/>
    <w:panose1 w:val="020B0609000101010101"/>
    <w:charset w:val="81"/>
    <w:family w:val="auto"/>
    <w:pitch w:val="default"/>
    <w:sig w:usb0="00000000" w:usb1="00000000" w:usb2="00000030" w:usb3="00000000" w:csb0="4008009F" w:csb1="DFD70000"/>
  </w:font>
  <w:font w:name="Dotum">
    <w:altName w:val="Malgun Gothic"/>
    <w:panose1 w:val="020B0600000101010101"/>
    <w:charset w:val="81"/>
    <w:family w:val="auto"/>
    <w:pitch w:val="default"/>
    <w:sig w:usb0="00000000" w:usb1="00000000" w:usb2="00000030" w:usb3="00000000" w:csb0="4008009F" w:csb1="DFD70000"/>
  </w:font>
  <w:font w:name="Britannic Bold">
    <w:altName w:val="Yu Gothic UI Semibold"/>
    <w:panose1 w:val="020B0903060703020204"/>
    <w:charset w:val="00"/>
    <w:family w:val="auto"/>
    <w:pitch w:val="default"/>
    <w:sig w:usb0="00000000" w:usb1="00000000" w:usb2="00000000" w:usb3="00000000" w:csb0="20000001" w:csb1="00000000"/>
  </w:font>
  <w:font w:name="Broadway">
    <w:altName w:val="Gabriola"/>
    <w:panose1 w:val="04040905080B02020502"/>
    <w:charset w:val="00"/>
    <w:family w:val="auto"/>
    <w:pitch w:val="default"/>
    <w:sig w:usb0="00000000" w:usb1="00000000" w:usb2="00000000" w:usb3="00000000" w:csb0="20000001" w:csb1="00000000"/>
  </w:font>
  <w:font w:name="Browallia New">
    <w:altName w:val="Segoe Print"/>
    <w:panose1 w:val="020B0604020202020204"/>
    <w:charset w:val="00"/>
    <w:family w:val="auto"/>
    <w:pitch w:val="default"/>
    <w:sig w:usb0="00000000" w:usb1="00000000" w:usb2="00000000" w:usb3="00000000" w:csb0="00010001" w:csb1="00000000"/>
  </w:font>
  <w:font w:name="BrowalliaUPC">
    <w:altName w:val="Segoe Print"/>
    <w:panose1 w:val="020B0604020202020204"/>
    <w:charset w:val="00"/>
    <w:family w:val="auto"/>
    <w:pitch w:val="default"/>
    <w:sig w:usb0="00000000" w:usb1="00000000" w:usb2="00000000" w:usb3="00000000" w:csb0="00010001" w:csb1="00000000"/>
  </w:font>
  <w:font w:name="Brush Script MT">
    <w:altName w:val="Mongolian Baiti"/>
    <w:panose1 w:val="03060802040406070304"/>
    <w:charset w:val="00"/>
    <w:family w:val="auto"/>
    <w:pitch w:val="default"/>
    <w:sig w:usb0="00000000" w:usb1="00000000" w:usb2="00000000" w:usb3="00000000" w:csb0="20000001" w:csb1="00000000"/>
  </w:font>
  <w:font w:name="Californian FB">
    <w:altName w:val="Segoe Print"/>
    <w:panose1 w:val="0207040306080B030204"/>
    <w:charset w:val="00"/>
    <w:family w:val="auto"/>
    <w:pitch w:val="default"/>
    <w:sig w:usb0="00000000" w:usb1="00000000" w:usb2="00000000" w:usb3="00000000" w:csb0="20000001" w:csb1="00000000"/>
  </w:font>
  <w:font w:name="Exotc350 Bd BT">
    <w:altName w:val="Gabriola"/>
    <w:panose1 w:val="04030805050B02020A03"/>
    <w:charset w:val="00"/>
    <w:family w:val="auto"/>
    <w:pitch w:val="default"/>
    <w:sig w:usb0="00000000" w:usb1="00000000" w:usb2="00000000" w:usb3="00000000" w:csb0="00000011" w:csb1="00000000"/>
  </w:font>
  <w:font w:name="Mongolian Baiti">
    <w:panose1 w:val="03000500000000000000"/>
    <w:charset w:val="00"/>
    <w:family w:val="auto"/>
    <w:pitch w:val="default"/>
    <w:sig w:usb0="80000023" w:usb1="00000000" w:usb2="00020000" w:usb3="00000000" w:csb0="00000001" w:csb1="00000000"/>
  </w:font>
  <w:font w:name="Bauhaus 93">
    <w:altName w:val="Gabriola"/>
    <w:panose1 w:val="04030905020B02020C02"/>
    <w:charset w:val="00"/>
    <w:family w:val="auto"/>
    <w:pitch w:val="default"/>
    <w:sig w:usb0="00000000" w:usb1="00000000" w:usb2="00000000" w:usb3="00000000" w:csb0="20000001" w:csb1="00000000"/>
  </w:font>
  <w:font w:name="Stencil">
    <w:altName w:val="Gabriola"/>
    <w:panose1 w:val="040409050D0802020404"/>
    <w:charset w:val="00"/>
    <w:family w:val="auto"/>
    <w:pitch w:val="default"/>
    <w:sig w:usb0="00000000" w:usb1="00000000" w:usb2="00000000" w:usb3="00000000" w:csb0="20000001" w:csb1="00000000"/>
  </w:font>
  <w:font w:name="Harlow Solid Italic">
    <w:altName w:val="Gabriola"/>
    <w:panose1 w:val="04030604020F02020D02"/>
    <w:charset w:val="00"/>
    <w:family w:val="auto"/>
    <w:pitch w:val="default"/>
    <w:sig w:usb0="00000000" w:usb1="00000000" w:usb2="00000000" w:usb3="00000000" w:csb0="20000001" w:csb1="00000000"/>
  </w:font>
  <w:font w:name="BatangChe">
    <w:altName w:val="Malgun Gothic"/>
    <w:panose1 w:val="02030609000101010101"/>
    <w:charset w:val="81"/>
    <w:family w:val="auto"/>
    <w:pitch w:val="default"/>
    <w:sig w:usb0="00000000" w:usb1="00000000" w:usb2="00000030" w:usb3="00000000" w:csb0="4008009F" w:csb1="DFD70000"/>
  </w:font>
  <w:font w:name="DFKai-SB">
    <w:altName w:val="Microsoft JhengHei Light"/>
    <w:panose1 w:val="03000509000000000000"/>
    <w:charset w:val="88"/>
    <w:family w:val="auto"/>
    <w:pitch w:val="default"/>
    <w:sig w:usb0="00000000" w:usb1="00000000" w:usb2="00000016" w:usb3="00000000" w:csb0="00100001" w:csb1="00000000"/>
  </w:font>
  <w:font w:name="GulimChe">
    <w:altName w:val="Malgun Gothic"/>
    <w:panose1 w:val="020B0609000101010101"/>
    <w:charset w:val="81"/>
    <w:family w:val="auto"/>
    <w:pitch w:val="default"/>
    <w:sig w:usb0="00000000" w:usb1="00000000" w:usb2="00000030" w:usb3="00000000" w:csb0="4008009F" w:csb1="DFD70000"/>
  </w:font>
  <w:font w:name="Meiryo">
    <w:altName w:val="Yu Gothic UI"/>
    <w:panose1 w:val="020B0604030504040204"/>
    <w:charset w:val="80"/>
    <w:family w:val="auto"/>
    <w:pitch w:val="default"/>
    <w:sig w:usb0="00000000" w:usb1="00000000" w:usb2="00010012" w:usb3="00000000" w:csb0="6002009F" w:csb1="DFD70000"/>
  </w:font>
  <w:font w:name="Meiryo UI">
    <w:altName w:val="Yu Gothic UI"/>
    <w:panose1 w:val="020B0604030504040204"/>
    <w:charset w:val="80"/>
    <w:family w:val="auto"/>
    <w:pitch w:val="default"/>
    <w:sig w:usb0="00000000" w:usb1="00000000" w:usb2="00010012" w:usb3="00000000" w:csb0="6002009F" w:csb1="DFD70000"/>
  </w:font>
  <w:font w:name="Batang">
    <w:altName w:val="Malgun Gothic"/>
    <w:panose1 w:val="02030600000101010101"/>
    <w:charset w:val="81"/>
    <w:family w:val="auto"/>
    <w:pitch w:val="default"/>
    <w:sig w:usb0="00000000" w:usb1="00000000" w:usb2="00000030" w:usb3="00000000" w:csb0="4008009F" w:csb1="DFD70000"/>
  </w:font>
  <w:font w:name="Adobe 楷体 Std R">
    <w:altName w:val="楷体_GB2312"/>
    <w:panose1 w:val="02020400000000000000"/>
    <w:charset w:val="86"/>
    <w:family w:val="roman"/>
    <w:pitch w:val="default"/>
    <w:sig w:usb0="00000000" w:usb1="00000000" w:usb2="00000016" w:usb3="00000000" w:csb0="00060007" w:csb1="00000000"/>
  </w:font>
  <w:font w:name="Pristina">
    <w:altName w:val="Mongolian Baiti"/>
    <w:panose1 w:val="03060402040406080204"/>
    <w:charset w:val="00"/>
    <w:family w:val="auto"/>
    <w:pitch w:val="default"/>
    <w:sig w:usb0="00000000" w:usb1="00000000" w:usb2="00000000" w:usb3="00000000" w:csb0="20000001" w:csb1="00000000"/>
  </w:font>
  <w:font w:name="Poor Richard">
    <w:altName w:val="Segoe Print"/>
    <w:panose1 w:val="02080502050505020702"/>
    <w:charset w:val="00"/>
    <w:family w:val="auto"/>
    <w:pitch w:val="default"/>
    <w:sig w:usb0="00000000" w:usb1="00000000" w:usb2="00000000" w:usb3="00000000" w:csb0="20000001" w:csb1="00000000"/>
  </w:font>
  <w:font w:name="Playbill">
    <w:altName w:val="Gabriola"/>
    <w:panose1 w:val="040506030A0602020202"/>
    <w:charset w:val="00"/>
    <w:family w:val="auto"/>
    <w:pitch w:val="default"/>
    <w:sig w:usb0="00000000" w:usb1="00000000" w:usb2="00000000" w:usb3="00000000" w:csb0="20000001" w:csb1="00000000"/>
  </w:font>
  <w:font w:name="Plantagenet Cherokee">
    <w:altName w:val="Segoe Print"/>
    <w:panose1 w:val="02020602070100000000"/>
    <w:charset w:val="00"/>
    <w:family w:val="auto"/>
    <w:pitch w:val="default"/>
    <w:sig w:usb0="00000000" w:usb1="00000000" w:usb2="00001000" w:usb3="00000000" w:csb0="00000001" w:csb1="00000000"/>
  </w:font>
  <w:font w:name="Perpetua Titling MT">
    <w:altName w:val="PMingLiU-ExtB"/>
    <w:panose1 w:val="02020502060505020804"/>
    <w:charset w:val="00"/>
    <w:family w:val="auto"/>
    <w:pitch w:val="default"/>
    <w:sig w:usb0="00000000" w:usb1="00000000" w:usb2="00000000" w:usb3="00000000" w:csb0="20000001" w:csb1="00000000"/>
  </w:font>
  <w:font w:name="Tw Cen MT Condensed Extra Bold">
    <w:altName w:val="Yu Gothic UI Semibold"/>
    <w:panose1 w:val="020B0803020202020204"/>
    <w:charset w:val="00"/>
    <w:family w:val="auto"/>
    <w:pitch w:val="default"/>
    <w:sig w:usb0="00000000" w:usb1="00000000" w:usb2="00000000" w:usb3="00000000" w:csb0="20000003" w:csb1="00000000"/>
  </w:font>
  <w:font w:name="Papyrus">
    <w:altName w:val="Mongolian Baiti"/>
    <w:panose1 w:val="03070502060502030205"/>
    <w:charset w:val="00"/>
    <w:family w:val="auto"/>
    <w:pitch w:val="default"/>
    <w:sig w:usb0="00000000" w:usb1="00000000" w:usb2="00000000" w:usb3="00000000" w:csb0="20000001" w:csb1="00000000"/>
  </w:font>
  <w:font w:name="Microsoft Tai Le">
    <w:panose1 w:val="020B0502040204020203"/>
    <w:charset w:val="00"/>
    <w:family w:val="auto"/>
    <w:pitch w:val="default"/>
    <w:sig w:usb0="00000003" w:usb1="00000000" w:usb2="40000000" w:usb3="00000000" w:csb0="00000001" w:csb1="00000000"/>
  </w:font>
  <w:font w:name="Sylfaen">
    <w:panose1 w:val="010A0502050306030303"/>
    <w:charset w:val="00"/>
    <w:family w:val="auto"/>
    <w:pitch w:val="default"/>
    <w:sig w:usb0="04000687" w:usb1="00000000" w:usb2="00000000" w:usb3="00000000" w:csb0="2000009F" w:csb1="00000000"/>
  </w:font>
  <w:font w:name="Symbol">
    <w:panose1 w:val="05050102010706020507"/>
    <w:charset w:val="00"/>
    <w:family w:val="auto"/>
    <w:pitch w:val="default"/>
    <w:sig w:usb0="00000000" w:usb1="00000000" w:usb2="00000000" w:usb3="00000000" w:csb0="80000000" w:csb1="00000000"/>
  </w:font>
  <w:font w:name="Tempus Sans ITC">
    <w:altName w:val="Gabriola"/>
    <w:panose1 w:val="04020404030D07020202"/>
    <w:charset w:val="00"/>
    <w:family w:val="auto"/>
    <w:pitch w:val="default"/>
    <w:sig w:usb0="00000000" w:usb1="00000000" w:usb2="00000000" w:usb3="00000000" w:csb0="20000001" w:csb1="00000000"/>
  </w:font>
  <w:font w:name="Gabriola">
    <w:panose1 w:val="04040605051002020D02"/>
    <w:charset w:val="00"/>
    <w:family w:val="auto"/>
    <w:pitch w:val="default"/>
    <w:sig w:usb0="E00002EF" w:usb1="5000204B" w:usb2="00000000" w:usb3="00000000" w:csb0="2000009F" w:csb1="00000000"/>
  </w:font>
  <w:font w:name="PMingLiU-ExtB">
    <w:panose1 w:val="02020500000000000000"/>
    <w:charset w:val="88"/>
    <w:family w:val="auto"/>
    <w:pitch w:val="default"/>
    <w:sig w:usb0="8000002F" w:usb1="02000008" w:usb2="00000000" w:usb3="00000000" w:csb0="00100001" w:csb1="00000000"/>
  </w:font>
  <w:font w:name="Trebuchet MS">
    <w:panose1 w:val="020B0603020202020204"/>
    <w:charset w:val="00"/>
    <w:family w:val="auto"/>
    <w:pitch w:val="default"/>
    <w:sig w:usb0="00000687" w:usb1="00000000" w:usb2="00000000" w:usb3="00000000" w:csb0="2000009F" w:csb1="00000000"/>
  </w:font>
  <w:font w:name="方正大标宋简体">
    <w:altName w:val="微软雅黑"/>
    <w:panose1 w:val="00000000000000000000"/>
    <w:charset w:val="00"/>
    <w:family w:val="auto"/>
    <w:pitch w:val="default"/>
    <w:sig w:usb0="00000000" w:usb1="00000000" w:usb2="00000000" w:usb3="00000000" w:csb0="00000000" w:csb1="00000000"/>
  </w:font>
  <w:font w:name="Segoe UI Symbol">
    <w:panose1 w:val="020B0502040204020203"/>
    <w:charset w:val="00"/>
    <w:family w:val="auto"/>
    <w:pitch w:val="default"/>
    <w:sig w:usb0="800001E3" w:usb1="1200FFEF" w:usb2="00040000" w:usb3="04000000" w:csb0="00000001" w:csb1="40000000"/>
  </w:font>
  <w:font w:name="Leelawadee UI">
    <w:panose1 w:val="020B0502040204020203"/>
    <w:charset w:val="00"/>
    <w:family w:val="auto"/>
    <w:pitch w:val="default"/>
    <w:sig w:usb0="83000003" w:usb1="00000000" w:usb2="00010000" w:usb3="00000001" w:csb0="00010101" w:csb1="00000000"/>
  </w:font>
  <w:font w:name="Microsoft Himalaya">
    <w:panose1 w:val="01010100010101010101"/>
    <w:charset w:val="00"/>
    <w:family w:val="auto"/>
    <w:pitch w:val="default"/>
    <w:sig w:usb0="80000003" w:usb1="00010000" w:usb2="00000040" w:usb3="00000000" w:csb0="00000001" w:csb1="00000000"/>
  </w:font>
  <w:font w:name="Malgun Gothic">
    <w:panose1 w:val="020B0503020000020004"/>
    <w:charset w:val="81"/>
    <w:family w:val="auto"/>
    <w:pitch w:val="default"/>
    <w:sig w:usb0="9000002F" w:usb1="29D77CFB" w:usb2="00000012" w:usb3="00000000" w:csb0="00080001" w:csb1="00000000"/>
  </w:font>
  <w:font w:name="Microsoft JhengHei Light">
    <w:panose1 w:val="020B0304030504040204"/>
    <w:charset w:val="88"/>
    <w:family w:val="auto"/>
    <w:pitch w:val="default"/>
    <w:sig w:usb0="800002A7" w:usb1="28CF4400" w:usb2="00000016" w:usb3="00000000" w:csb0="00100009" w:csb1="00000000"/>
  </w:font>
  <w:font w:name="方正楷体简体">
    <w:altName w:val="宋体"/>
    <w:panose1 w:val="00000000000000000000"/>
    <w:charset w:val="00"/>
    <w:family w:val="auto"/>
    <w:pitch w:val="default"/>
    <w:sig w:usb0="00000000" w:usb1="00000000" w:usb2="00000000" w:usb3="00000000" w:csb0="00040001" w:csb1="00000000"/>
  </w:font>
  <w:font w:name="Wingdings 3">
    <w:panose1 w:val="05040102010807070707"/>
    <w:charset w:val="00"/>
    <w:family w:val="auto"/>
    <w:pitch w:val="default"/>
    <w:sig w:usb0="00000000" w:usb1="00000000" w:usb2="00000000" w:usb3="00000000" w:csb0="80000000" w:csb1="00000000"/>
  </w:font>
  <w:font w:name="Wingdings 2">
    <w:panose1 w:val="05020102010507070707"/>
    <w:charset w:val="00"/>
    <w:family w:val="auto"/>
    <w:pitch w:val="default"/>
    <w:sig w:usb0="00000000" w:usb1="00000000" w:usb2="00000000" w:usb3="00000000" w:csb0="80000000" w:csb1="00000000"/>
  </w:font>
  <w:font w:name="Wide Latin">
    <w:altName w:val="Segoe Print"/>
    <w:panose1 w:val="020A0A07050505020404"/>
    <w:charset w:val="00"/>
    <w:family w:val="auto"/>
    <w:pitch w:val="default"/>
    <w:sig w:usb0="00000000" w:usb1="00000000" w:usb2="00000000" w:usb3="00000000" w:csb0="20000001" w:csb1="00000000"/>
  </w:font>
  <w:font w:name="Tw Cen MT">
    <w:altName w:val="Segoe Print"/>
    <w:panose1 w:val="020B0602020104020603"/>
    <w:charset w:val="00"/>
    <w:family w:val="auto"/>
    <w:pitch w:val="default"/>
    <w:sig w:usb0="00000000" w:usb1="00000000" w:usb2="00000000" w:usb3="00000000" w:csb0="20000003" w:csb1="00000000"/>
  </w:font>
  <w:font w:name="Rockwell">
    <w:altName w:val="Segoe Print"/>
    <w:panose1 w:val="02060603020205020403"/>
    <w:charset w:val="00"/>
    <w:family w:val="auto"/>
    <w:pitch w:val="default"/>
    <w:sig w:usb0="00000000" w:usb1="00000000" w:usb2="00000000" w:usb3="00000000" w:csb0="20000001" w:csb1="00000000"/>
  </w:font>
  <w:font w:name="Rockwell Condensed">
    <w:altName w:val="Segoe Print"/>
    <w:panose1 w:val="02060603050405020104"/>
    <w:charset w:val="00"/>
    <w:family w:val="auto"/>
    <w:pitch w:val="default"/>
    <w:sig w:usb0="00000000" w:usb1="00000000" w:usb2="00000000" w:usb3="00000000" w:csb0="20000001" w:csb1="00000000"/>
  </w:font>
  <w:font w:name="Rockwell Extra Bold">
    <w:altName w:val="Segoe Print"/>
    <w:panose1 w:val="02060903040505020403"/>
    <w:charset w:val="00"/>
    <w:family w:val="auto"/>
    <w:pitch w:val="default"/>
    <w:sig w:usb0="00000000" w:usb1="00000000" w:usb2="00000000" w:usb3="00000000" w:csb0="20000001" w:csb1="00000000"/>
  </w:font>
  <w:font w:name="Script MT Bold">
    <w:altName w:val="Mongolian Baiti"/>
    <w:panose1 w:val="03040602040607080904"/>
    <w:charset w:val="00"/>
    <w:family w:val="auto"/>
    <w:pitch w:val="default"/>
    <w:sig w:usb0="00000000" w:usb1="00000000" w:usb2="00000000" w:usb3="00000000" w:csb0="20000001" w:csb1="00000000"/>
  </w:font>
  <w:font w:name="Vladimir Script">
    <w:altName w:val="Mongolian Baiti"/>
    <w:panose1 w:val="03050402040407070305"/>
    <w:charset w:val="00"/>
    <w:family w:val="auto"/>
    <w:pitch w:val="default"/>
    <w:sig w:usb0="00000000" w:usb1="00000000" w:usb2="00000000" w:usb3="00000000" w:csb0="20000001" w:csb1="00000000"/>
  </w:font>
  <w:font w:name="Vivaldi">
    <w:altName w:val="Mongolian Baiti"/>
    <w:panose1 w:val="03020602050506090804"/>
    <w:charset w:val="00"/>
    <w:family w:val="auto"/>
    <w:pitch w:val="default"/>
    <w:sig w:usb0="00000000" w:usb1="00000000" w:usb2="00000000" w:usb3="00000000" w:csb0="20000001" w:csb1="00000000"/>
  </w:font>
  <w:font w:name="Viner Hand ITC">
    <w:altName w:val="Mongolian Baiti"/>
    <w:panose1 w:val="03070502030502020203"/>
    <w:charset w:val="00"/>
    <w:family w:val="auto"/>
    <w:pitch w:val="default"/>
    <w:sig w:usb0="00000000" w:usb1="00000000" w:usb2="00000000" w:usb3="00000000" w:csb0="20000001" w:csb1="00000000"/>
  </w:font>
  <w:font w:name="Tw Cen MT Condensed">
    <w:altName w:val="Segoe Print"/>
    <w:panose1 w:val="020B0606020104020203"/>
    <w:charset w:val="00"/>
    <w:family w:val="auto"/>
    <w:pitch w:val="default"/>
    <w:sig w:usb0="00000000" w:usb1="00000000" w:usb2="00000000" w:usb3="00000000" w:csb0="20000003" w:csb1="00000000"/>
  </w:font>
  <w:font w:name="Showcard Gothic">
    <w:altName w:val="Gabriola"/>
    <w:panose1 w:val="04020904020102020604"/>
    <w:charset w:val="00"/>
    <w:family w:val="auto"/>
    <w:pitch w:val="default"/>
    <w:sig w:usb0="00000000" w:usb1="00000000" w:usb2="00000000" w:usb3="00000000" w:csb0="20000001" w:csb1="00000000"/>
  </w:font>
  <w:font w:name="Sitka Banner">
    <w:panose1 w:val="02000505000000020004"/>
    <w:charset w:val="00"/>
    <w:family w:val="auto"/>
    <w:pitch w:val="default"/>
    <w:sig w:usb0="A00002EF" w:usb1="4000204B" w:usb2="00000000" w:usb3="00000000" w:csb0="2000019F" w:csb1="00000000"/>
  </w:font>
  <w:font w:name="Sitka Display">
    <w:panose1 w:val="02000505000000020004"/>
    <w:charset w:val="00"/>
    <w:family w:val="auto"/>
    <w:pitch w:val="default"/>
    <w:sig w:usb0="A00002EF" w:usb1="4000204B" w:usb2="00000000" w:usb3="00000000" w:csb0="2000019F" w:csb1="00000000"/>
  </w:font>
  <w:font w:name="Sitka Heading">
    <w:panose1 w:val="02000505000000020004"/>
    <w:charset w:val="00"/>
    <w:family w:val="auto"/>
    <w:pitch w:val="default"/>
    <w:sig w:usb0="A00002EF" w:usb1="4000204B" w:usb2="00000000" w:usb3="00000000" w:csb0="2000019F" w:csb1="00000000"/>
  </w:font>
  <w:font w:name="Sitka Small">
    <w:panose1 w:val="02000505000000020004"/>
    <w:charset w:val="00"/>
    <w:family w:val="auto"/>
    <w:pitch w:val="default"/>
    <w:sig w:usb0="A00002EF" w:usb1="4000204B" w:usb2="00000000" w:usb3="00000000" w:csb0="2000019F" w:csb1="00000000"/>
  </w:font>
  <w:font w:name="Sitka Subheading">
    <w:panose1 w:val="02000505000000020004"/>
    <w:charset w:val="00"/>
    <w:family w:val="auto"/>
    <w:pitch w:val="default"/>
    <w:sig w:usb0="A00002EF" w:usb1="4000204B" w:usb2="00000000" w:usb3="00000000" w:csb0="2000019F" w:csb1="00000000"/>
  </w:font>
  <w:font w:name="Sitka Text">
    <w:panose1 w:val="02000505000000020004"/>
    <w:charset w:val="00"/>
    <w:family w:val="auto"/>
    <w:pitch w:val="default"/>
    <w:sig w:usb0="A00002EF" w:usb1="4000204B" w:usb2="00000000" w:usb3="00000000" w:csb0="2000019F" w:csb1="00000000"/>
  </w:font>
  <w:font w:name="Snap ITC">
    <w:altName w:val="Gabriola"/>
    <w:panose1 w:val="04040A07060A02020202"/>
    <w:charset w:val="00"/>
    <w:family w:val="auto"/>
    <w:pitch w:val="default"/>
    <w:sig w:usb0="00000000" w:usb1="00000000" w:usb2="00000000" w:usb3="00000000" w:csb0="20000001" w:csb1="00000000"/>
  </w:font>
  <w:font w:name="DejaVu Math TeX Gyre">
    <w:altName w:val="Corbel"/>
    <w:panose1 w:val="02000503000000000000"/>
    <w:charset w:val="00"/>
    <w:family w:val="auto"/>
    <w:pitch w:val="default"/>
    <w:sig w:usb0="00000000" w:usb1="00000000" w:usb2="02000000" w:usb3="00000000" w:csb0="60000193" w:csb1="0DD40000"/>
  </w:font>
  <w:font w:name="NumberOnly">
    <w:altName w:val="Sitka Text"/>
    <w:panose1 w:val="020B0500000000000000"/>
    <w:charset w:val="00"/>
    <w:family w:val="auto"/>
    <w:pitch w:val="default"/>
    <w:sig w:usb0="00000000" w:usb1="00000000" w:usb2="00000000" w:usb3="00000000" w:csb0="00000111" w:csb1="40000000"/>
  </w:font>
  <w:font w:name="方正兰亭黑_GBK">
    <w:altName w:val="微软雅黑"/>
    <w:panose1 w:val="00000000000000000000"/>
    <w:charset w:val="86"/>
    <w:family w:val="auto"/>
    <w:pitch w:val="default"/>
    <w:sig w:usb0="00000000" w:usb1="00000000" w:usb2="00000010" w:usb3="00000000" w:csb0="00040000" w:csb1="00000000"/>
  </w:font>
  <w:font w:name="方正兰亭中粗黑_GBK">
    <w:altName w:val="黑体"/>
    <w:panose1 w:val="00000000000000000000"/>
    <w:charset w:val="86"/>
    <w:family w:val="auto"/>
    <w:pitch w:val="default"/>
    <w:sig w:usb0="00000000" w:usb1="00000000" w:usb2="00042016" w:usb3="00000000" w:csb0="00040001" w:csb1="00000000"/>
  </w:font>
  <w:font w:name="方正兰亭中黑_GBK">
    <w:altName w:val="黑体"/>
    <w:panose1 w:val="00000000000000000000"/>
    <w:charset w:val="86"/>
    <w:family w:val="auto"/>
    <w:pitch w:val="default"/>
    <w:sig w:usb0="00000000" w:usb1="00000000" w:usb2="00082016" w:usb3="00000000" w:csb0="00040000" w:csb1="00000000"/>
  </w:font>
  <w:font w:name="方正大标宋_GBK">
    <w:altName w:val="宋体"/>
    <w:panose1 w:val="03000509000000000000"/>
    <w:charset w:val="86"/>
    <w:family w:val="auto"/>
    <w:pitch w:val="default"/>
    <w:sig w:usb0="00000000" w:usb1="00000000" w:usb2="00000000" w:usb3="00000000" w:csb0="00040000" w:csb1="00000000"/>
  </w:font>
  <w:font w:name="Corbel">
    <w:panose1 w:val="020B0503020204020204"/>
    <w:charset w:val="00"/>
    <w:family w:val="auto"/>
    <w:pitch w:val="default"/>
    <w:sig w:usb0="A00002EF" w:usb1="4000A44B" w:usb2="00000000" w:usb3="00000000" w:csb0="2000019F" w:csb1="00000000"/>
  </w:font>
  <w:font w:name="Candara">
    <w:panose1 w:val="020E0502030303020204"/>
    <w:charset w:val="00"/>
    <w:family w:val="auto"/>
    <w:pitch w:val="default"/>
    <w:sig w:usb0="A00002EF" w:usb1="4000A44B" w:usb2="00000000" w:usb3="00000000" w:csb0="2000019F" w:csb1="00000000"/>
  </w:font>
  <w:font w:name="Cambria Math">
    <w:panose1 w:val="02040503050406030204"/>
    <w:charset w:val="00"/>
    <w:family w:val="auto"/>
    <w:pitch w:val="default"/>
    <w:sig w:usb0="E00006FF" w:usb1="420024FF" w:usb2="02000000" w:usb3="00000000" w:csb0="2000019F" w:csb1="00000000"/>
  </w:font>
  <w:font w:name="Bahnschrift SemiCondensed">
    <w:panose1 w:val="020B0502040204020203"/>
    <w:charset w:val="00"/>
    <w:family w:val="auto"/>
    <w:pitch w:val="default"/>
    <w:sig w:usb0="800002C7" w:usb1="00000002" w:usb2="00000000" w:usb3="00000000" w:csb0="2000019F" w:csb1="00000000"/>
  </w:font>
  <w:font w:name="Times New Roma">
    <w:altName w:val="微软雅黑"/>
    <w:panose1 w:val="00000000000000000000"/>
    <w:charset w:val="00"/>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- 2 -</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pStyle w:val="3"/>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- 2 -</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bordersDoNotSurroundHeader w:val="0"/>
  <w:bordersDoNotSurroundFooter w:val="0"/>
  <w:documentProtection w:enforcement="0"/>
  <w:defaultTabStop w:val="420"/>
  <w:drawingGridVerticalSpacing w:val="159"/>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YyYTdmMTNhNTM0ODFjZTE5NzA4ZjQ2ZmY1OTdlNGEifQ=="/>
  </w:docVars>
  <w:rsids>
    <w:rsidRoot w:val="0C232FAE"/>
    <w:rsid w:val="030C7F85"/>
    <w:rsid w:val="06056302"/>
    <w:rsid w:val="06E35F22"/>
    <w:rsid w:val="074B005B"/>
    <w:rsid w:val="076A1D32"/>
    <w:rsid w:val="09B00B22"/>
    <w:rsid w:val="0C232FAE"/>
    <w:rsid w:val="0F9066BD"/>
    <w:rsid w:val="11EF790D"/>
    <w:rsid w:val="156F385B"/>
    <w:rsid w:val="160345A8"/>
    <w:rsid w:val="192B4457"/>
    <w:rsid w:val="20384704"/>
    <w:rsid w:val="254B0FCD"/>
    <w:rsid w:val="33B06151"/>
    <w:rsid w:val="342B7D48"/>
    <w:rsid w:val="34B55C45"/>
    <w:rsid w:val="3C6E315C"/>
    <w:rsid w:val="3E7914B6"/>
    <w:rsid w:val="41E13468"/>
    <w:rsid w:val="422355B6"/>
    <w:rsid w:val="43E046CC"/>
    <w:rsid w:val="47FF71AB"/>
    <w:rsid w:val="487D127F"/>
    <w:rsid w:val="4A0C59D3"/>
    <w:rsid w:val="50E76E64"/>
    <w:rsid w:val="536B43E0"/>
    <w:rsid w:val="540416D4"/>
    <w:rsid w:val="594F71AB"/>
    <w:rsid w:val="5A4104BD"/>
    <w:rsid w:val="5C6605EB"/>
    <w:rsid w:val="5CA529B6"/>
    <w:rsid w:val="5D122976"/>
    <w:rsid w:val="6070402D"/>
    <w:rsid w:val="6D8A49D2"/>
    <w:rsid w:val="759230C9"/>
    <w:rsid w:val="767944AA"/>
    <w:rsid w:val="77991B1D"/>
    <w:rsid w:val="7B5550AD"/>
    <w:rsid w:val="7BD66FBB"/>
    <w:rsid w:val="7D601ADC"/>
    <w:rsid w:val="7FB407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9">
    <w:name w:val="Normal Table"/>
    <w:semiHidden/>
    <w:qFormat/>
    <w:uiPriority w:val="0"/>
    <w:tblPr>
      <w:tblLayout w:type="fixed"/>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annotation reference"/>
    <w:basedOn w:val="6"/>
    <w:qFormat/>
    <w:uiPriority w:val="0"/>
    <w:rPr>
      <w:sz w:val="21"/>
      <w:szCs w:val="21"/>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7290</Words>
  <Characters>7421</Characters>
  <Lines>0</Lines>
  <Paragraphs>0</Paragraphs>
  <TotalTime>2</TotalTime>
  <ScaleCrop>false</ScaleCrop>
  <LinksUpToDate>false</LinksUpToDate>
  <CharactersWithSpaces>7563</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2024-06-25T10:18:00Z</dcterms:created>
  <dc:creator>Administrator</dc:creator>
  <cp:lastModifiedBy>Administrator</cp:lastModifiedBy>
  <cp:lastPrinted>2024-11-07T00:24:00Z</cp:lastPrinted>
  <dcterms:modified xsi:type="dcterms:W3CDTF">2024-12-16T07:49:27Z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y fmtid="{D5CDD505-2E9C-101B-9397-08002B2CF9AE}" pid="3" name="ICV">
    <vt:lpwstr>BB497D71257A45BCB31D044E4DA1CF49_13</vt:lpwstr>
  </property>
</Properties>
</file>